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823180515"/>
    <w:bookmarkEnd w:id="0"/>
    <w:p w14:paraId="3C5582CB" w14:textId="01976805" w:rsidR="00834E93" w:rsidRDefault="004E60A9" w:rsidP="00834E93">
      <w:pPr>
        <w:ind w:left="-567" w:right="-284"/>
        <w:jc w:val="center"/>
        <w:rPr>
          <w:rFonts w:ascii="Times New Roman" w:hAnsi="Times New Roman" w:cs="Times New Roman"/>
          <w:b/>
          <w:bCs/>
          <w:sz w:val="26"/>
          <w:szCs w:val="26"/>
        </w:rPr>
      </w:pPr>
      <w:r>
        <w:object w:dxaOrig="10675" w:dyaOrig="14474" w14:anchorId="7554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55pt;height:723.75pt" o:ole="">
            <v:imagedata r:id="rId4" o:title=""/>
          </v:shape>
          <o:OLEObject Type="Embed" ProgID="Word.Document.12" ShapeID="_x0000_i1025" DrawAspect="Content" ObjectID="_1836479372" r:id="rId5">
            <o:FieldCodes>\s</o:FieldCodes>
          </o:OLEObject>
        </w:object>
      </w:r>
      <w:r w:rsidR="00834E93">
        <w:t xml:space="preserve">  </w:t>
      </w:r>
      <w:r w:rsidR="00834E93">
        <w:rPr>
          <w:rFonts w:ascii="Times New Roman" w:hAnsi="Times New Roman" w:cs="Times New Roman"/>
          <w:b/>
          <w:bCs/>
          <w:sz w:val="26"/>
          <w:szCs w:val="26"/>
        </w:rPr>
        <w:t xml:space="preserve">     </w:t>
      </w:r>
    </w:p>
    <w:p w14:paraId="37876882" w14:textId="77777777" w:rsidR="00834E93" w:rsidRDefault="00834E93" w:rsidP="00834E93">
      <w:pPr>
        <w:spacing w:after="0" w:line="240" w:lineRule="auto"/>
        <w:ind w:left="-567" w:right="-284"/>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p>
    <w:p w14:paraId="60C116FF" w14:textId="77777777" w:rsidR="00834E93" w:rsidRDefault="00834E93" w:rsidP="00834E93">
      <w:pPr>
        <w:spacing w:after="0" w:line="240" w:lineRule="auto"/>
        <w:ind w:left="-567" w:right="-284"/>
        <w:rPr>
          <w:rFonts w:ascii="Times New Roman" w:hAnsi="Times New Roman" w:cs="Times New Roman"/>
          <w:b/>
          <w:bCs/>
          <w:sz w:val="26"/>
          <w:szCs w:val="26"/>
        </w:rPr>
      </w:pPr>
    </w:p>
    <w:p w14:paraId="6A9C1152" w14:textId="77777777" w:rsidR="00834E93" w:rsidRDefault="00834E93" w:rsidP="00834E93">
      <w:pPr>
        <w:spacing w:after="0" w:line="240" w:lineRule="auto"/>
        <w:ind w:left="-567" w:right="-284"/>
      </w:pPr>
      <w:r>
        <w:rPr>
          <w:rFonts w:ascii="Times New Roman" w:hAnsi="Times New Roman" w:cs="Times New Roman"/>
          <w:b/>
          <w:bCs/>
          <w:sz w:val="26"/>
          <w:szCs w:val="26"/>
        </w:rPr>
        <w:t xml:space="preserve">   3. Сроки рассмотрения, оформленного заемщиком заявления о </w:t>
      </w:r>
      <w:r>
        <w:rPr>
          <w:rFonts w:ascii="Times New Roman" w:eastAsia="Lucida Sans Unicode" w:hAnsi="Times New Roman" w:cs="Mangal"/>
          <w:b/>
          <w:bCs/>
          <w:kern w:val="2"/>
          <w:sz w:val="26"/>
          <w:szCs w:val="26"/>
          <w:lang w:eastAsia="hi-IN" w:bidi="hi-IN"/>
        </w:rPr>
        <w:t xml:space="preserve">предоставлении потребительского займа и перечень документов, необходимых для   рассмотрения заявления: </w:t>
      </w:r>
      <w:r>
        <w:rPr>
          <w:rFonts w:ascii="Times New Roman" w:eastAsia="Lucida Sans Unicode" w:hAnsi="Times New Roman" w:cs="Mangal"/>
          <w:kern w:val="2"/>
          <w:sz w:val="26"/>
          <w:szCs w:val="26"/>
          <w:lang w:eastAsia="hi-IN" w:bidi="hi-IN"/>
        </w:rPr>
        <w:t>не применимо, т. к. заявление не требуется, поскольку, дополнительные услуги за отдельную плату заемщику ломбардом не предлагаются.</w:t>
      </w:r>
      <w:r>
        <w:t xml:space="preserve">  </w:t>
      </w:r>
    </w:p>
    <w:p w14:paraId="00516B15" w14:textId="77777777" w:rsidR="00834E93" w:rsidRDefault="00834E93" w:rsidP="00834E93">
      <w:pPr>
        <w:spacing w:after="0" w:line="240" w:lineRule="auto"/>
        <w:ind w:left="-567" w:right="-284"/>
      </w:pPr>
      <w:r>
        <w:rPr>
          <w:rFonts w:ascii="Times New Roman" w:hAnsi="Times New Roman" w:cs="Times New Roman"/>
          <w:b/>
          <w:bCs/>
          <w:sz w:val="26"/>
          <w:szCs w:val="26"/>
        </w:rPr>
        <w:t xml:space="preserve">            4.</w:t>
      </w:r>
      <w:r>
        <w:t xml:space="preserve"> </w:t>
      </w:r>
      <w:r>
        <w:rPr>
          <w:rFonts w:ascii="Times New Roman" w:eastAsia="Lucida Sans Unicode" w:hAnsi="Times New Roman" w:cs="Mangal"/>
          <w:b/>
          <w:bCs/>
          <w:kern w:val="2"/>
          <w:sz w:val="26"/>
          <w:szCs w:val="26"/>
          <w:lang w:eastAsia="hi-IN" w:bidi="hi-IN"/>
        </w:rPr>
        <w:t>Вид предоставленного потребительского займа</w:t>
      </w:r>
      <w:r>
        <w:rPr>
          <w:rFonts w:ascii="Times New Roman" w:eastAsia="Lucida Sans Unicode" w:hAnsi="Times New Roman" w:cs="Mangal"/>
          <w:kern w:val="2"/>
          <w:sz w:val="26"/>
          <w:szCs w:val="26"/>
          <w:lang w:eastAsia="hi-IN" w:bidi="hi-IN"/>
        </w:rPr>
        <w:t xml:space="preserve">: </w:t>
      </w:r>
      <w:r>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t xml:space="preserve">       </w:t>
      </w:r>
    </w:p>
    <w:p w14:paraId="4E85B482" w14:textId="77777777" w:rsidR="00834E93" w:rsidRDefault="00834E93" w:rsidP="00834E93">
      <w:pPr>
        <w:spacing w:after="0" w:line="240" w:lineRule="auto"/>
        <w:ind w:left="-567" w:right="-284"/>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5.Суммы потребительского займа и сроки его возврата.</w:t>
      </w:r>
    </w:p>
    <w:p w14:paraId="7A6ABBB0" w14:textId="77777777" w:rsidR="00834E93" w:rsidRDefault="00834E93" w:rsidP="00834E93">
      <w:pPr>
        <w:spacing w:after="0" w:line="240" w:lineRule="auto"/>
        <w:ind w:left="-567" w:right="-284"/>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Pr>
          <w:rFonts w:ascii="Times New Roman" w:eastAsia="Lucida Sans Unicode" w:hAnsi="Times New Roman" w:cs="Mangal"/>
          <w:kern w:val="2"/>
          <w:sz w:val="26"/>
          <w:szCs w:val="26"/>
          <w:lang w:eastAsia="hi-IN" w:bidi="hi-IN"/>
        </w:rPr>
        <w:t xml:space="preserve">5.1 Сумма займа, которая может </w:t>
      </w:r>
      <w:r>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 реализации вещи в случае ее не востребования. Заемщик вправе получить меньшую сумму займа, чем предложено ломбардом.</w:t>
      </w:r>
    </w:p>
    <w:p w14:paraId="6BAF3CB5" w14:textId="77777777" w:rsidR="00834E93" w:rsidRDefault="00834E93" w:rsidP="00834E93">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5.1.1.Сумма выданного займа не может превышать сумму оценки предмета залога, установленную в соответствии со статьей 5 Федерального закона «О ломбардах».</w:t>
      </w:r>
    </w:p>
    <w:p w14:paraId="3CB8C9A4" w14:textId="77777777" w:rsidR="00834E93" w:rsidRDefault="00834E93" w:rsidP="00834E93">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 Договор потребительского кредита (займа) предусматривает право Заемщика на неоднократную пролонгацию договора.</w:t>
      </w:r>
    </w:p>
    <w:p w14:paraId="181C62FC" w14:textId="77777777" w:rsidR="00834E93" w:rsidRDefault="00834E93" w:rsidP="00834E93">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5.3 Льготный срок, в течение которого ломбард не вправе реализовывать предмет залога - один месяц после истечения установленной даты возврата займа указанной в залоговом билете.</w:t>
      </w:r>
    </w:p>
    <w:p w14:paraId="140E1F30"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6. Валюты, в которых предоставляется потребительский займ.</w:t>
      </w:r>
    </w:p>
    <w:p w14:paraId="7CCF2C68"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2E785EC"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77097730"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7.1 Займы предоставляются путем выдачи наличных денежных средств, переводом денежных средств на банковскую карту заемщика.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Pr>
          <w:rFonts w:ascii="Times New Roman" w:eastAsia="Times New Roman" w:hAnsi="Times New Roman" w:cs="Times New Roman"/>
          <w:kern w:val="2"/>
          <w:sz w:val="26"/>
          <w:szCs w:val="20"/>
          <w:lang w:eastAsia="ar-SA"/>
        </w:rPr>
        <w:tab/>
      </w:r>
    </w:p>
    <w:p w14:paraId="412E5F14" w14:textId="77777777" w:rsidR="00834E93" w:rsidRDefault="00834E93" w:rsidP="00834E93">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2B0258CF" w14:textId="0254F825"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8.1 Процентная ставка за пользование займом составляет от 53,533 % до </w:t>
      </w:r>
      <w:r w:rsidR="00FA4628">
        <w:rPr>
          <w:rFonts w:ascii="Times New Roman" w:eastAsia="Times New Roman" w:hAnsi="Times New Roman" w:cs="Times New Roman"/>
          <w:kern w:val="2"/>
          <w:sz w:val="26"/>
          <w:szCs w:val="20"/>
          <w:lang w:eastAsia="ar-SA"/>
        </w:rPr>
        <w:t>1</w:t>
      </w:r>
      <w:r w:rsidR="004E60A9">
        <w:rPr>
          <w:rFonts w:ascii="Times New Roman" w:eastAsia="Times New Roman" w:hAnsi="Times New Roman" w:cs="Times New Roman"/>
          <w:kern w:val="2"/>
          <w:sz w:val="26"/>
          <w:szCs w:val="20"/>
          <w:lang w:eastAsia="ar-SA"/>
        </w:rPr>
        <w:t>0</w:t>
      </w:r>
      <w:r w:rsidR="00A04DD1">
        <w:rPr>
          <w:rFonts w:ascii="Times New Roman" w:eastAsia="Times New Roman" w:hAnsi="Times New Roman" w:cs="Times New Roman"/>
          <w:kern w:val="2"/>
          <w:sz w:val="26"/>
          <w:szCs w:val="20"/>
          <w:lang w:eastAsia="ar-SA"/>
        </w:rPr>
        <w:t>7</w:t>
      </w:r>
      <w:r w:rsidR="00FA4628">
        <w:rPr>
          <w:rFonts w:ascii="Times New Roman" w:eastAsia="Times New Roman" w:hAnsi="Times New Roman" w:cs="Times New Roman"/>
          <w:kern w:val="2"/>
          <w:sz w:val="26"/>
          <w:szCs w:val="20"/>
          <w:lang w:eastAsia="ar-SA"/>
        </w:rPr>
        <w:t>,</w:t>
      </w:r>
      <w:r w:rsidR="00A04DD1">
        <w:rPr>
          <w:rFonts w:ascii="Times New Roman" w:eastAsia="Times New Roman" w:hAnsi="Times New Roman" w:cs="Times New Roman"/>
          <w:kern w:val="2"/>
          <w:sz w:val="26"/>
          <w:szCs w:val="20"/>
          <w:lang w:eastAsia="ar-SA"/>
        </w:rPr>
        <w:t>3</w:t>
      </w:r>
      <w:r w:rsidR="004E60A9">
        <w:rPr>
          <w:rFonts w:ascii="Times New Roman" w:eastAsia="Times New Roman" w:hAnsi="Times New Roman" w:cs="Times New Roman"/>
          <w:kern w:val="2"/>
          <w:sz w:val="26"/>
          <w:szCs w:val="20"/>
          <w:lang w:eastAsia="ar-SA"/>
        </w:rPr>
        <w:t>1</w:t>
      </w:r>
      <w:r w:rsidR="00A04DD1">
        <w:rPr>
          <w:rFonts w:ascii="Times New Roman" w:eastAsia="Times New Roman" w:hAnsi="Times New Roman" w:cs="Times New Roman"/>
          <w:kern w:val="2"/>
          <w:sz w:val="26"/>
          <w:szCs w:val="20"/>
          <w:lang w:eastAsia="ar-SA"/>
        </w:rPr>
        <w:t>0</w:t>
      </w:r>
      <w:r>
        <w:rPr>
          <w:rFonts w:ascii="Times New Roman" w:eastAsia="Times New Roman" w:hAnsi="Times New Roman" w:cs="Times New Roman"/>
          <w:kern w:val="2"/>
          <w:sz w:val="26"/>
          <w:szCs w:val="20"/>
          <w:lang w:eastAsia="ar-SA"/>
        </w:rPr>
        <w:t xml:space="preserve"> % годовых, что соответствует от 0,147 % до 0,</w:t>
      </w:r>
      <w:r w:rsidR="004E60A9">
        <w:rPr>
          <w:rFonts w:ascii="Times New Roman" w:eastAsia="Times New Roman" w:hAnsi="Times New Roman" w:cs="Times New Roman"/>
          <w:kern w:val="2"/>
          <w:sz w:val="26"/>
          <w:szCs w:val="20"/>
          <w:lang w:eastAsia="ar-SA"/>
        </w:rPr>
        <w:t>294</w:t>
      </w:r>
      <w:r>
        <w:rPr>
          <w:rFonts w:ascii="Times New Roman" w:eastAsia="Times New Roman" w:hAnsi="Times New Roman" w:cs="Times New Roman"/>
          <w:kern w:val="2"/>
          <w:sz w:val="26"/>
          <w:szCs w:val="20"/>
          <w:lang w:eastAsia="ar-SA"/>
        </w:rPr>
        <w:t xml:space="preserve"> % в день и зависит от категории клиента, суммы займа и срок фактического пользования займом.</w:t>
      </w:r>
    </w:p>
    <w:tbl>
      <w:tblPr>
        <w:tblStyle w:val="TableNormal"/>
        <w:tblW w:w="11190" w:type="dxa"/>
        <w:tblInd w:w="-1410"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3815"/>
        <w:gridCol w:w="2694"/>
        <w:gridCol w:w="1842"/>
        <w:gridCol w:w="2839"/>
      </w:tblGrid>
      <w:tr w:rsidR="00834E93" w14:paraId="12ABDA2D" w14:textId="77777777" w:rsidTr="00834E93">
        <w:trPr>
          <w:trHeight w:hRule="exact" w:val="399"/>
        </w:trPr>
        <w:tc>
          <w:tcPr>
            <w:tcW w:w="3816" w:type="dxa"/>
            <w:tcBorders>
              <w:top w:val="single" w:sz="4" w:space="0" w:color="auto"/>
              <w:left w:val="single" w:sz="4" w:space="0" w:color="auto"/>
              <w:bottom w:val="nil"/>
              <w:right w:val="single" w:sz="4" w:space="0" w:color="auto"/>
            </w:tcBorders>
            <w:shd w:val="clear" w:color="auto" w:fill="FFFFFF" w:themeFill="background1"/>
          </w:tcPr>
          <w:p w14:paraId="1415CF2C" w14:textId="77777777" w:rsidR="00834E93" w:rsidRDefault="00834E93">
            <w:pPr>
              <w:pStyle w:val="a3"/>
              <w:rPr>
                <w:rFonts w:ascii="Times New Roman" w:hAnsi="Times New Roman" w:cs="Times New Roman"/>
                <w:b/>
                <w:sz w:val="28"/>
                <w:szCs w:val="28"/>
              </w:rPr>
            </w:pPr>
            <w:r>
              <w:rPr>
                <w:rFonts w:ascii="Times New Roman" w:eastAsia="Times New Roman" w:hAnsi="Times New Roman" w:cs="Times New Roman"/>
                <w:b/>
                <w:sz w:val="28"/>
              </w:rPr>
              <w:t>Процентные</w:t>
            </w:r>
            <w:r>
              <w:rPr>
                <w:rFonts w:ascii="Times New Roman" w:hAnsi="Times New Roman" w:cs="Times New Roman"/>
                <w:b/>
                <w:sz w:val="28"/>
                <w:szCs w:val="28"/>
              </w:rPr>
              <w:t xml:space="preserve"> ставки</w:t>
            </w:r>
            <w:r>
              <w:rPr>
                <w:rFonts w:ascii="Times New Roman" w:eastAsia="Times New Roman" w:hAnsi="Times New Roman" w:cs="Times New Roman"/>
                <w:b/>
                <w:sz w:val="28"/>
              </w:rPr>
              <w:t xml:space="preserve"> в месяц</w:t>
            </w:r>
          </w:p>
          <w:p w14:paraId="23B999E3" w14:textId="77777777" w:rsidR="00834E93" w:rsidRDefault="00834E93">
            <w:pPr>
              <w:spacing w:before="15" w:line="240" w:lineRule="auto"/>
              <w:ind w:left="63" w:right="63"/>
              <w:jc w:val="center"/>
              <w:rPr>
                <w:rFonts w:ascii="Times New Roman" w:eastAsia="Times New Roman" w:hAnsi="Times New Roman" w:cs="Times New Roman"/>
                <w:b/>
                <w:sz w:val="28"/>
              </w:rPr>
            </w:pPr>
          </w:p>
          <w:p w14:paraId="22515735" w14:textId="77777777" w:rsidR="00834E93" w:rsidRDefault="00834E93">
            <w:pPr>
              <w:spacing w:before="15" w:line="240" w:lineRule="auto"/>
              <w:ind w:left="63" w:right="63"/>
              <w:jc w:val="center"/>
              <w:rPr>
                <w:rFonts w:ascii="Times New Roman" w:eastAsia="Times New Roman" w:hAnsi="Times New Roman" w:cs="Times New Roman"/>
                <w:b/>
                <w:sz w:val="28"/>
              </w:rPr>
            </w:pPr>
          </w:p>
          <w:p w14:paraId="258B5982" w14:textId="77777777" w:rsidR="00834E93" w:rsidRDefault="00834E93">
            <w:pPr>
              <w:spacing w:before="15" w:line="240" w:lineRule="auto"/>
              <w:ind w:left="63" w:right="63"/>
              <w:jc w:val="center"/>
              <w:rPr>
                <w:rFonts w:ascii="Times New Roman" w:eastAsia="Times New Roman" w:hAnsi="Times New Roman" w:cs="Times New Roman"/>
                <w:b/>
                <w:sz w:val="28"/>
              </w:rPr>
            </w:pPr>
          </w:p>
        </w:tc>
        <w:tc>
          <w:tcPr>
            <w:tcW w:w="2694" w:type="dxa"/>
            <w:tcBorders>
              <w:top w:val="single" w:sz="4" w:space="0" w:color="auto"/>
              <w:left w:val="single" w:sz="4" w:space="0" w:color="auto"/>
              <w:bottom w:val="nil"/>
              <w:right w:val="single" w:sz="4" w:space="0" w:color="auto"/>
            </w:tcBorders>
            <w:shd w:val="clear" w:color="auto" w:fill="FFFFFF" w:themeFill="background1"/>
            <w:hideMark/>
          </w:tcPr>
          <w:p w14:paraId="6DF58E1D" w14:textId="77777777" w:rsidR="00834E93" w:rsidRDefault="00834E93">
            <w:pPr>
              <w:spacing w:before="15" w:line="240" w:lineRule="auto"/>
              <w:rPr>
                <w:rFonts w:ascii="Times New Roman" w:eastAsia="Times New Roman" w:hAnsi="Times New Roman" w:cs="Times New Roman"/>
                <w:b/>
                <w:sz w:val="28"/>
              </w:rPr>
            </w:pPr>
            <w:r>
              <w:rPr>
                <w:rFonts w:ascii="Times New Roman" w:eastAsia="Times New Roman" w:hAnsi="Times New Roman" w:cs="Times New Roman"/>
                <w:b/>
                <w:sz w:val="28"/>
              </w:rPr>
              <w:t>Сумма займа, руб.</w:t>
            </w:r>
          </w:p>
        </w:tc>
        <w:tc>
          <w:tcPr>
            <w:tcW w:w="1842" w:type="dxa"/>
            <w:tcBorders>
              <w:top w:val="single" w:sz="4" w:space="0" w:color="auto"/>
              <w:left w:val="single" w:sz="4" w:space="0" w:color="auto"/>
              <w:bottom w:val="nil"/>
              <w:right w:val="single" w:sz="4" w:space="0" w:color="auto"/>
            </w:tcBorders>
            <w:shd w:val="clear" w:color="auto" w:fill="FFFFFF" w:themeFill="background1"/>
            <w:hideMark/>
          </w:tcPr>
          <w:p w14:paraId="0059F017" w14:textId="77777777" w:rsidR="00834E93" w:rsidRDefault="00834E93">
            <w:pPr>
              <w:spacing w:before="15"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ставки в год</w:t>
            </w:r>
          </w:p>
        </w:tc>
        <w:tc>
          <w:tcPr>
            <w:tcW w:w="2840" w:type="dxa"/>
            <w:tcBorders>
              <w:top w:val="single" w:sz="4" w:space="0" w:color="auto"/>
              <w:left w:val="single" w:sz="4" w:space="0" w:color="auto"/>
              <w:bottom w:val="nil"/>
              <w:right w:val="single" w:sz="4" w:space="0" w:color="auto"/>
            </w:tcBorders>
            <w:shd w:val="clear" w:color="auto" w:fill="FFFFFF" w:themeFill="background1"/>
            <w:hideMark/>
          </w:tcPr>
          <w:p w14:paraId="155C5815" w14:textId="77777777" w:rsidR="00834E93" w:rsidRDefault="00834E93">
            <w:pPr>
              <w:spacing w:before="15" w:line="240" w:lineRule="auto"/>
              <w:ind w:left="395" w:right="395"/>
              <w:jc w:val="center"/>
              <w:rPr>
                <w:rFonts w:ascii="Times New Roman" w:eastAsia="Times New Roman" w:hAnsi="Times New Roman" w:cs="Times New Roman"/>
                <w:b/>
                <w:sz w:val="28"/>
              </w:rPr>
            </w:pPr>
            <w:r>
              <w:rPr>
                <w:rFonts w:ascii="Times New Roman" w:eastAsia="Times New Roman" w:hAnsi="Times New Roman" w:cs="Times New Roman"/>
                <w:b/>
                <w:sz w:val="28"/>
              </w:rPr>
              <w:t>С 1-го по 62* день</w:t>
            </w:r>
          </w:p>
        </w:tc>
      </w:tr>
      <w:tr w:rsidR="00834E93" w14:paraId="5A36EA28" w14:textId="77777777" w:rsidTr="00834E93">
        <w:trPr>
          <w:trHeight w:hRule="exact" w:val="487"/>
        </w:trPr>
        <w:tc>
          <w:tcPr>
            <w:tcW w:w="3816" w:type="dxa"/>
            <w:tcBorders>
              <w:top w:val="nil"/>
              <w:left w:val="single" w:sz="4" w:space="0" w:color="auto"/>
              <w:bottom w:val="single" w:sz="4" w:space="0" w:color="auto"/>
              <w:right w:val="single" w:sz="4" w:space="0" w:color="auto"/>
            </w:tcBorders>
            <w:shd w:val="clear" w:color="auto" w:fill="FFFFFF" w:themeFill="background1"/>
          </w:tcPr>
          <w:p w14:paraId="65DDA933" w14:textId="77777777" w:rsidR="00834E93" w:rsidRDefault="00834E93">
            <w:pPr>
              <w:spacing w:before="15" w:line="240" w:lineRule="auto"/>
              <w:ind w:right="63"/>
              <w:rPr>
                <w:rFonts w:ascii="Times New Roman" w:eastAsia="Times New Roman" w:hAnsi="Times New Roman" w:cs="Times New Roman"/>
                <w:b/>
                <w:sz w:val="28"/>
              </w:rPr>
            </w:pPr>
          </w:p>
        </w:tc>
        <w:tc>
          <w:tcPr>
            <w:tcW w:w="2694" w:type="dxa"/>
            <w:tcBorders>
              <w:top w:val="nil"/>
              <w:left w:val="single" w:sz="4" w:space="0" w:color="auto"/>
              <w:bottom w:val="single" w:sz="4" w:space="0" w:color="auto"/>
              <w:right w:val="single" w:sz="4" w:space="0" w:color="auto"/>
            </w:tcBorders>
            <w:shd w:val="clear" w:color="auto" w:fill="FFFFFF" w:themeFill="background1"/>
          </w:tcPr>
          <w:p w14:paraId="03B0E60D" w14:textId="77777777" w:rsidR="00834E93" w:rsidRDefault="00834E93">
            <w:pPr>
              <w:spacing w:before="15" w:line="240" w:lineRule="auto"/>
              <w:jc w:val="center"/>
              <w:rPr>
                <w:rFonts w:ascii="Times New Roman" w:eastAsia="Times New Roman" w:hAnsi="Times New Roman" w:cs="Times New Roman"/>
                <w:b/>
                <w:sz w:val="28"/>
              </w:rPr>
            </w:pPr>
          </w:p>
        </w:tc>
        <w:tc>
          <w:tcPr>
            <w:tcW w:w="1842" w:type="dxa"/>
            <w:tcBorders>
              <w:top w:val="nil"/>
              <w:left w:val="single" w:sz="4" w:space="0" w:color="auto"/>
              <w:bottom w:val="single" w:sz="4" w:space="0" w:color="auto"/>
              <w:right w:val="single" w:sz="4" w:space="0" w:color="auto"/>
            </w:tcBorders>
            <w:shd w:val="clear" w:color="auto" w:fill="FFFFFF" w:themeFill="background1"/>
          </w:tcPr>
          <w:p w14:paraId="34762237" w14:textId="77777777" w:rsidR="00834E93" w:rsidRDefault="00834E93">
            <w:pPr>
              <w:spacing w:before="15" w:line="240" w:lineRule="auto"/>
              <w:rPr>
                <w:rFonts w:ascii="Times New Roman" w:eastAsia="Times New Roman" w:hAnsi="Times New Roman" w:cs="Times New Roman"/>
                <w:b/>
                <w:sz w:val="24"/>
                <w:szCs w:val="24"/>
              </w:rPr>
            </w:pPr>
          </w:p>
        </w:tc>
        <w:tc>
          <w:tcPr>
            <w:tcW w:w="2840" w:type="dxa"/>
            <w:tcBorders>
              <w:top w:val="nil"/>
              <w:left w:val="single" w:sz="4" w:space="0" w:color="auto"/>
              <w:bottom w:val="single" w:sz="4" w:space="0" w:color="auto"/>
              <w:right w:val="single" w:sz="4" w:space="0" w:color="auto"/>
            </w:tcBorders>
            <w:shd w:val="clear" w:color="auto" w:fill="FFFFFF" w:themeFill="background1"/>
          </w:tcPr>
          <w:p w14:paraId="330B793D" w14:textId="77777777" w:rsidR="00834E93" w:rsidRDefault="00834E93">
            <w:pPr>
              <w:spacing w:before="15" w:line="240" w:lineRule="auto"/>
              <w:ind w:left="395" w:right="395"/>
              <w:jc w:val="center"/>
              <w:rPr>
                <w:rFonts w:ascii="Times New Roman" w:eastAsia="Times New Roman" w:hAnsi="Times New Roman" w:cs="Times New Roman"/>
                <w:b/>
                <w:sz w:val="28"/>
              </w:rPr>
            </w:pPr>
          </w:p>
        </w:tc>
      </w:tr>
      <w:tr w:rsidR="00190167" w14:paraId="078C150C" w14:textId="77777777" w:rsidTr="00190167">
        <w:trPr>
          <w:trHeight w:hRule="exact" w:val="392"/>
        </w:trPr>
        <w:tc>
          <w:tcPr>
            <w:tcW w:w="3816" w:type="dxa"/>
            <w:tcBorders>
              <w:top w:val="nil"/>
              <w:left w:val="single" w:sz="4" w:space="0" w:color="auto"/>
              <w:bottom w:val="single" w:sz="4" w:space="0" w:color="auto"/>
              <w:right w:val="single" w:sz="4" w:space="0" w:color="auto"/>
            </w:tcBorders>
            <w:shd w:val="clear" w:color="auto" w:fill="FFFFFF" w:themeFill="background1"/>
          </w:tcPr>
          <w:p w14:paraId="07C1E7F0" w14:textId="373653D4" w:rsidR="00190167" w:rsidRPr="00190167" w:rsidRDefault="00190167">
            <w:pPr>
              <w:spacing w:before="15" w:line="240" w:lineRule="auto"/>
              <w:ind w:right="63"/>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w:t>
            </w:r>
            <w:r w:rsidR="001502C1">
              <w:rPr>
                <w:rFonts w:ascii="Times New Roman" w:eastAsia="Times New Roman" w:hAnsi="Times New Roman" w:cs="Times New Roman"/>
                <w:sz w:val="28"/>
                <w:lang w:val="ru-RU"/>
              </w:rPr>
              <w:t>8</w:t>
            </w:r>
            <w:r w:rsidR="00FA4628">
              <w:rPr>
                <w:rFonts w:ascii="Times New Roman" w:eastAsia="Times New Roman" w:hAnsi="Times New Roman" w:cs="Times New Roman"/>
                <w:sz w:val="28"/>
                <w:lang w:val="ru-RU"/>
              </w:rPr>
              <w:t>,</w:t>
            </w:r>
            <w:r w:rsidR="001502C1">
              <w:rPr>
                <w:rFonts w:ascii="Times New Roman" w:eastAsia="Times New Roman" w:hAnsi="Times New Roman" w:cs="Times New Roman"/>
                <w:sz w:val="28"/>
                <w:lang w:val="ru-RU"/>
              </w:rPr>
              <w:t>8</w:t>
            </w:r>
            <w:r>
              <w:rPr>
                <w:rFonts w:ascii="Times New Roman" w:eastAsia="Times New Roman" w:hAnsi="Times New Roman" w:cs="Times New Roman"/>
                <w:sz w:val="28"/>
                <w:lang w:val="ru-RU"/>
              </w:rPr>
              <w:t>% базовая</w:t>
            </w:r>
          </w:p>
        </w:tc>
        <w:tc>
          <w:tcPr>
            <w:tcW w:w="2694" w:type="dxa"/>
            <w:tcBorders>
              <w:top w:val="nil"/>
              <w:left w:val="single" w:sz="4" w:space="0" w:color="auto"/>
              <w:bottom w:val="single" w:sz="4" w:space="0" w:color="auto"/>
              <w:right w:val="single" w:sz="4" w:space="0" w:color="auto"/>
            </w:tcBorders>
            <w:shd w:val="clear" w:color="auto" w:fill="FFFFFF" w:themeFill="background1"/>
          </w:tcPr>
          <w:p w14:paraId="34EB88C7" w14:textId="4C13BB76" w:rsidR="00190167" w:rsidRDefault="00190167" w:rsidP="00190167">
            <w:pPr>
              <w:spacing w:before="15" w:line="240" w:lineRule="auto"/>
              <w:jc w:val="center"/>
              <w:rPr>
                <w:rFonts w:ascii="Times New Roman" w:eastAsia="Times New Roman" w:hAnsi="Times New Roman" w:cs="Times New Roman"/>
                <w:b/>
                <w:sz w:val="28"/>
              </w:rPr>
            </w:pPr>
            <w:r>
              <w:rPr>
                <w:rFonts w:ascii="Times New Roman" w:eastAsia="Times New Roman" w:hAnsi="Times New Roman" w:cs="Times New Roman"/>
                <w:sz w:val="28"/>
              </w:rPr>
              <w:t>от 1</w:t>
            </w:r>
            <w:r>
              <w:rPr>
                <w:rFonts w:ascii="Times New Roman" w:eastAsia="Times New Roman" w:hAnsi="Times New Roman" w:cs="Times New Roman"/>
                <w:sz w:val="28"/>
                <w:lang w:val="ru-RU"/>
              </w:rPr>
              <w:t>50</w:t>
            </w:r>
            <w:r>
              <w:rPr>
                <w:rFonts w:ascii="Times New Roman" w:eastAsia="Times New Roman" w:hAnsi="Times New Roman" w:cs="Times New Roman"/>
                <w:sz w:val="28"/>
              </w:rPr>
              <w:t xml:space="preserve"> до </w:t>
            </w:r>
            <w:r w:rsidR="00EA291F">
              <w:rPr>
                <w:rFonts w:ascii="Times New Roman" w:eastAsia="Times New Roman" w:hAnsi="Times New Roman" w:cs="Times New Roman"/>
                <w:sz w:val="28"/>
                <w:lang w:val="ru-RU"/>
              </w:rPr>
              <w:t>5</w:t>
            </w:r>
            <w:r>
              <w:rPr>
                <w:rFonts w:ascii="Times New Roman" w:eastAsia="Times New Roman" w:hAnsi="Times New Roman" w:cs="Times New Roman"/>
                <w:sz w:val="28"/>
              </w:rPr>
              <w:t>0 000</w:t>
            </w:r>
          </w:p>
        </w:tc>
        <w:tc>
          <w:tcPr>
            <w:tcW w:w="1842" w:type="dxa"/>
            <w:tcBorders>
              <w:top w:val="nil"/>
              <w:left w:val="single" w:sz="4" w:space="0" w:color="auto"/>
              <w:bottom w:val="single" w:sz="4" w:space="0" w:color="auto"/>
              <w:right w:val="single" w:sz="4" w:space="0" w:color="auto"/>
            </w:tcBorders>
            <w:shd w:val="clear" w:color="auto" w:fill="FFFFFF" w:themeFill="background1"/>
          </w:tcPr>
          <w:p w14:paraId="4AEB02AC" w14:textId="1EA1D834" w:rsidR="00190167" w:rsidRPr="009816DC" w:rsidRDefault="009816DC">
            <w:pPr>
              <w:spacing w:before="15"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 xml:space="preserve">      </w:t>
            </w:r>
            <w:r w:rsidR="00FA4628">
              <w:rPr>
                <w:rFonts w:ascii="Times New Roman" w:eastAsia="Times New Roman" w:hAnsi="Times New Roman" w:cs="Times New Roman"/>
                <w:sz w:val="24"/>
                <w:szCs w:val="24"/>
                <w:lang w:val="ru-RU"/>
              </w:rPr>
              <w:t>1</w:t>
            </w:r>
            <w:r w:rsidR="004E60A9">
              <w:rPr>
                <w:rFonts w:ascii="Times New Roman" w:eastAsia="Times New Roman" w:hAnsi="Times New Roman" w:cs="Times New Roman"/>
                <w:sz w:val="24"/>
                <w:szCs w:val="24"/>
                <w:lang w:val="ru-RU"/>
              </w:rPr>
              <w:t>0</w:t>
            </w:r>
            <w:r w:rsidR="00A04DD1">
              <w:rPr>
                <w:rFonts w:ascii="Times New Roman" w:eastAsia="Times New Roman" w:hAnsi="Times New Roman" w:cs="Times New Roman"/>
                <w:sz w:val="24"/>
                <w:szCs w:val="24"/>
                <w:lang w:val="ru-RU"/>
              </w:rPr>
              <w:t>7</w:t>
            </w:r>
            <w:r w:rsidR="00FA4628">
              <w:rPr>
                <w:rFonts w:ascii="Times New Roman" w:eastAsia="Times New Roman" w:hAnsi="Times New Roman" w:cs="Times New Roman"/>
                <w:sz w:val="24"/>
                <w:szCs w:val="24"/>
                <w:lang w:val="ru-RU"/>
              </w:rPr>
              <w:t>,</w:t>
            </w:r>
            <w:r w:rsidR="004E60A9">
              <w:rPr>
                <w:rFonts w:ascii="Times New Roman" w:eastAsia="Times New Roman" w:hAnsi="Times New Roman" w:cs="Times New Roman"/>
                <w:sz w:val="24"/>
                <w:szCs w:val="24"/>
                <w:lang w:val="ru-RU"/>
              </w:rPr>
              <w:t>310</w:t>
            </w:r>
            <w:r w:rsidRPr="009816DC">
              <w:rPr>
                <w:rFonts w:ascii="Times New Roman" w:eastAsia="Times New Roman" w:hAnsi="Times New Roman" w:cs="Times New Roman"/>
                <w:sz w:val="24"/>
                <w:szCs w:val="24"/>
                <w:lang w:val="ru-RU"/>
              </w:rPr>
              <w:t xml:space="preserve"> %</w:t>
            </w:r>
          </w:p>
        </w:tc>
        <w:tc>
          <w:tcPr>
            <w:tcW w:w="2840" w:type="dxa"/>
            <w:tcBorders>
              <w:top w:val="nil"/>
              <w:left w:val="single" w:sz="4" w:space="0" w:color="auto"/>
              <w:bottom w:val="single" w:sz="4" w:space="0" w:color="auto"/>
              <w:right w:val="single" w:sz="4" w:space="0" w:color="auto"/>
            </w:tcBorders>
            <w:shd w:val="clear" w:color="auto" w:fill="FFFFFF" w:themeFill="background1"/>
          </w:tcPr>
          <w:p w14:paraId="34D26C28" w14:textId="4E23FDF6" w:rsidR="00190167" w:rsidRPr="009816DC" w:rsidRDefault="009816DC" w:rsidP="009816DC">
            <w:pPr>
              <w:spacing w:before="15" w:line="240" w:lineRule="auto"/>
              <w:ind w:left="395" w:right="395"/>
              <w:jc w:val="center"/>
              <w:rPr>
                <w:rFonts w:ascii="Times New Roman" w:eastAsia="Times New Roman" w:hAnsi="Times New Roman" w:cs="Times New Roman"/>
                <w:sz w:val="28"/>
                <w:lang w:val="ru-RU"/>
              </w:rPr>
            </w:pPr>
            <w:r w:rsidRPr="009816DC">
              <w:rPr>
                <w:rFonts w:ascii="Times New Roman" w:eastAsia="Times New Roman" w:hAnsi="Times New Roman" w:cs="Times New Roman"/>
                <w:sz w:val="28"/>
                <w:lang w:val="ru-RU"/>
              </w:rPr>
              <w:t>0,</w:t>
            </w:r>
            <w:r w:rsidR="004E60A9">
              <w:rPr>
                <w:rFonts w:ascii="Times New Roman" w:eastAsia="Times New Roman" w:hAnsi="Times New Roman" w:cs="Times New Roman"/>
                <w:sz w:val="28"/>
                <w:lang w:val="ru-RU"/>
              </w:rPr>
              <w:t>294</w:t>
            </w:r>
            <w:r w:rsidRPr="009816DC">
              <w:rPr>
                <w:rFonts w:ascii="Times New Roman" w:eastAsia="Times New Roman" w:hAnsi="Times New Roman" w:cs="Times New Roman"/>
                <w:sz w:val="28"/>
                <w:lang w:val="ru-RU"/>
              </w:rPr>
              <w:t xml:space="preserve"> % в день</w:t>
            </w:r>
          </w:p>
        </w:tc>
      </w:tr>
      <w:tr w:rsidR="00834E93" w14:paraId="3C2AEF1D" w14:textId="77777777" w:rsidTr="00EA291F">
        <w:trPr>
          <w:trHeight w:hRule="exact" w:val="355"/>
        </w:trPr>
        <w:tc>
          <w:tcPr>
            <w:tcW w:w="3816" w:type="dxa"/>
            <w:tcBorders>
              <w:top w:val="single" w:sz="4" w:space="0" w:color="auto"/>
              <w:left w:val="single" w:sz="6" w:space="0" w:color="151616"/>
              <w:bottom w:val="single" w:sz="6" w:space="0" w:color="151616"/>
              <w:right w:val="single" w:sz="4" w:space="0" w:color="auto"/>
            </w:tcBorders>
            <w:hideMark/>
          </w:tcPr>
          <w:p w14:paraId="24103106" w14:textId="505DBC85" w:rsidR="00834E93" w:rsidRDefault="00834E93" w:rsidP="00190167">
            <w:pPr>
              <w:spacing w:line="318" w:lineRule="exact"/>
              <w:ind w:left="63" w:right="63"/>
              <w:jc w:val="center"/>
              <w:rPr>
                <w:rFonts w:ascii="Times New Roman" w:eastAsia="Times New Roman" w:hAnsi="Times New Roman" w:cs="Times New Roman"/>
                <w:sz w:val="28"/>
                <w:szCs w:val="28"/>
              </w:rPr>
            </w:pPr>
            <w:r>
              <w:rPr>
                <w:rFonts w:ascii="Times New Roman" w:eastAsia="Times New Roman" w:hAnsi="Times New Roman" w:cs="Times New Roman"/>
                <w:color w:val="151616"/>
                <w:sz w:val="28"/>
                <w:szCs w:val="28"/>
              </w:rPr>
              <w:t>8,</w:t>
            </w:r>
            <w:r w:rsidR="00EA291F">
              <w:rPr>
                <w:rFonts w:ascii="Times New Roman" w:eastAsia="Times New Roman" w:hAnsi="Times New Roman" w:cs="Times New Roman"/>
                <w:color w:val="151616"/>
                <w:sz w:val="28"/>
                <w:szCs w:val="28"/>
                <w:lang w:val="ru-RU"/>
              </w:rPr>
              <w:t>3</w:t>
            </w:r>
            <w:r>
              <w:rPr>
                <w:rFonts w:ascii="Times New Roman" w:eastAsia="Times New Roman" w:hAnsi="Times New Roman" w:cs="Times New Roman"/>
                <w:color w:val="151616"/>
                <w:sz w:val="28"/>
                <w:szCs w:val="28"/>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1C35677B" w14:textId="2B0AD911" w:rsidR="00834E93" w:rsidRDefault="00834E93" w:rsidP="00190167">
            <w:pPr>
              <w:tabs>
                <w:tab w:val="left" w:pos="1605"/>
                <w:tab w:val="center" w:pos="2235"/>
              </w:tabs>
              <w:spacing w:line="318" w:lineRule="exact"/>
              <w:jc w:val="center"/>
              <w:rPr>
                <w:rFonts w:ascii="Times New Roman" w:eastAsia="Times New Roman" w:hAnsi="Times New Roman" w:cs="Times New Roman"/>
                <w:sz w:val="28"/>
              </w:rPr>
            </w:pPr>
            <w:r>
              <w:rPr>
                <w:rFonts w:ascii="Times New Roman" w:eastAsia="Times New Roman" w:hAnsi="Times New Roman" w:cs="Times New Roman"/>
                <w:sz w:val="28"/>
              </w:rPr>
              <w:t xml:space="preserve">от </w:t>
            </w:r>
            <w:r w:rsidR="00EA291F">
              <w:rPr>
                <w:rFonts w:ascii="Times New Roman" w:eastAsia="Times New Roman" w:hAnsi="Times New Roman" w:cs="Times New Roman"/>
                <w:sz w:val="28"/>
                <w:lang w:val="ru-RU"/>
              </w:rPr>
              <w:t>5</w:t>
            </w:r>
            <w:r w:rsidR="00190167">
              <w:rPr>
                <w:rFonts w:ascii="Times New Roman" w:eastAsia="Times New Roman" w:hAnsi="Times New Roman" w:cs="Times New Roman"/>
                <w:sz w:val="28"/>
                <w:lang w:val="ru-RU"/>
              </w:rPr>
              <w:t>0 001</w:t>
            </w:r>
            <w:r>
              <w:rPr>
                <w:rFonts w:ascii="Times New Roman" w:eastAsia="Times New Roman" w:hAnsi="Times New Roman" w:cs="Times New Roman"/>
                <w:sz w:val="28"/>
              </w:rPr>
              <w:t xml:space="preserve"> до </w:t>
            </w:r>
            <w:r w:rsidR="00EA291F">
              <w:rPr>
                <w:rFonts w:ascii="Times New Roman" w:eastAsia="Times New Roman" w:hAnsi="Times New Roman" w:cs="Times New Roman"/>
                <w:sz w:val="28"/>
                <w:lang w:val="ru-RU"/>
              </w:rPr>
              <w:t>2</w:t>
            </w:r>
            <w:r>
              <w:rPr>
                <w:rFonts w:ascii="Times New Roman" w:eastAsia="Times New Roman" w:hAnsi="Times New Roman" w:cs="Times New Roman"/>
                <w:sz w:val="28"/>
              </w:rPr>
              <w:t>00 000</w:t>
            </w:r>
          </w:p>
        </w:tc>
        <w:tc>
          <w:tcPr>
            <w:tcW w:w="1842" w:type="dxa"/>
            <w:tcBorders>
              <w:top w:val="single" w:sz="4" w:space="0" w:color="auto"/>
              <w:left w:val="single" w:sz="4" w:space="0" w:color="auto"/>
              <w:bottom w:val="single" w:sz="4" w:space="0" w:color="auto"/>
              <w:right w:val="single" w:sz="4" w:space="0" w:color="auto"/>
            </w:tcBorders>
          </w:tcPr>
          <w:p w14:paraId="47CFAB48" w14:textId="254B78C5" w:rsidR="00834E93" w:rsidRPr="00B27F73" w:rsidRDefault="00B27F73">
            <w:pPr>
              <w:tabs>
                <w:tab w:val="left" w:pos="1605"/>
                <w:tab w:val="center" w:pos="2235"/>
              </w:tabs>
              <w:spacing w:line="318" w:lineRule="exact"/>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101,105%</w:t>
            </w:r>
          </w:p>
        </w:tc>
        <w:tc>
          <w:tcPr>
            <w:tcW w:w="2840" w:type="dxa"/>
            <w:tcBorders>
              <w:top w:val="single" w:sz="4" w:space="0" w:color="auto"/>
              <w:left w:val="single" w:sz="4" w:space="0" w:color="auto"/>
              <w:bottom w:val="single" w:sz="6" w:space="0" w:color="151616"/>
              <w:right w:val="single" w:sz="6" w:space="0" w:color="151616"/>
            </w:tcBorders>
            <w:hideMark/>
          </w:tcPr>
          <w:p w14:paraId="04EABB95" w14:textId="77D91188" w:rsidR="00834E93" w:rsidRDefault="00834E93" w:rsidP="009816DC">
            <w:pPr>
              <w:spacing w:line="318" w:lineRule="exact"/>
              <w:ind w:left="395" w:right="395"/>
              <w:jc w:val="center"/>
              <w:rPr>
                <w:rFonts w:ascii="Times New Roman" w:eastAsia="Times New Roman" w:hAnsi="Times New Roman" w:cs="Times New Roman"/>
                <w:sz w:val="28"/>
              </w:rPr>
            </w:pPr>
            <w:r>
              <w:rPr>
                <w:rFonts w:ascii="Times New Roman" w:eastAsia="Times New Roman" w:hAnsi="Times New Roman" w:cs="Times New Roman"/>
                <w:color w:val="151616"/>
                <w:sz w:val="28"/>
              </w:rPr>
              <w:t>0,2</w:t>
            </w:r>
            <w:r w:rsidR="00EA291F">
              <w:rPr>
                <w:rFonts w:ascii="Times New Roman" w:eastAsia="Times New Roman" w:hAnsi="Times New Roman" w:cs="Times New Roman"/>
                <w:color w:val="151616"/>
                <w:sz w:val="28"/>
                <w:lang w:val="ru-RU"/>
              </w:rPr>
              <w:t>77</w:t>
            </w:r>
            <w:r>
              <w:rPr>
                <w:rFonts w:ascii="Times New Roman" w:eastAsia="Times New Roman" w:hAnsi="Times New Roman" w:cs="Times New Roman"/>
                <w:color w:val="151616"/>
                <w:sz w:val="28"/>
              </w:rPr>
              <w:t xml:space="preserve"> % в день</w:t>
            </w:r>
          </w:p>
        </w:tc>
      </w:tr>
      <w:tr w:rsidR="00834E93" w14:paraId="4EA3F3DB" w14:textId="77777777" w:rsidTr="00834E93">
        <w:trPr>
          <w:trHeight w:hRule="exact" w:val="355"/>
        </w:trPr>
        <w:tc>
          <w:tcPr>
            <w:tcW w:w="3816" w:type="dxa"/>
            <w:tcBorders>
              <w:top w:val="single" w:sz="4" w:space="0" w:color="auto"/>
              <w:left w:val="single" w:sz="6" w:space="0" w:color="151616"/>
              <w:bottom w:val="single" w:sz="4" w:space="0" w:color="auto"/>
              <w:right w:val="single" w:sz="4" w:space="0" w:color="auto"/>
            </w:tcBorders>
            <w:hideMark/>
          </w:tcPr>
          <w:p w14:paraId="5623F6E9" w14:textId="5E54662A" w:rsidR="00834E93" w:rsidRDefault="00EA291F">
            <w:pPr>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lang w:val="ru-RU"/>
              </w:rPr>
              <w:t>7</w:t>
            </w:r>
            <w:r w:rsidR="00834E93">
              <w:rPr>
                <w:rFonts w:ascii="Times New Roman" w:eastAsia="Times New Roman" w:hAnsi="Times New Roman" w:cs="Times New Roman"/>
                <w:color w:val="151616"/>
                <w:sz w:val="28"/>
                <w:szCs w:val="28"/>
              </w:rPr>
              <w:t>,</w:t>
            </w:r>
            <w:r>
              <w:rPr>
                <w:rFonts w:ascii="Times New Roman" w:eastAsia="Times New Roman" w:hAnsi="Times New Roman" w:cs="Times New Roman"/>
                <w:color w:val="151616"/>
                <w:sz w:val="28"/>
                <w:szCs w:val="28"/>
                <w:lang w:val="ru-RU"/>
              </w:rPr>
              <w:t>7</w:t>
            </w:r>
            <w:r w:rsidR="00834E93">
              <w:rPr>
                <w:rFonts w:ascii="Times New Roman" w:eastAsia="Times New Roman" w:hAnsi="Times New Roman" w:cs="Times New Roman"/>
                <w:color w:val="151616"/>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14:paraId="3CC43E82" w14:textId="2D44CCE9" w:rsidR="00834E93" w:rsidRDefault="00834E93" w:rsidP="00190167">
            <w:pPr>
              <w:spacing w:line="318" w:lineRule="exact"/>
              <w:ind w:left="-148" w:right="-138" w:hanging="142"/>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 xml:space="preserve">от </w:t>
            </w:r>
            <w:r w:rsidR="00190167">
              <w:rPr>
                <w:rFonts w:ascii="Times New Roman" w:eastAsia="Times New Roman" w:hAnsi="Times New Roman" w:cs="Times New Roman"/>
                <w:color w:val="151616"/>
                <w:sz w:val="28"/>
                <w:lang w:val="ru-RU"/>
              </w:rPr>
              <w:t xml:space="preserve">от </w:t>
            </w:r>
            <w:r w:rsidR="00EA291F">
              <w:rPr>
                <w:rFonts w:ascii="Times New Roman" w:eastAsia="Times New Roman" w:hAnsi="Times New Roman" w:cs="Times New Roman"/>
                <w:color w:val="151616"/>
                <w:sz w:val="28"/>
                <w:lang w:val="ru-RU"/>
              </w:rPr>
              <w:t>2</w:t>
            </w:r>
            <w:r w:rsidR="00190167">
              <w:rPr>
                <w:rFonts w:ascii="Times New Roman" w:eastAsia="Times New Roman" w:hAnsi="Times New Roman" w:cs="Times New Roman"/>
                <w:color w:val="151616"/>
                <w:sz w:val="28"/>
              </w:rPr>
              <w:t>00 001 до</w:t>
            </w:r>
            <w:r w:rsidR="00EA291F">
              <w:rPr>
                <w:rFonts w:ascii="Times New Roman" w:eastAsia="Times New Roman" w:hAnsi="Times New Roman" w:cs="Times New Roman"/>
                <w:color w:val="151616"/>
                <w:sz w:val="28"/>
                <w:lang w:val="ru-RU"/>
              </w:rPr>
              <w:t xml:space="preserve"> 3</w:t>
            </w:r>
            <w:r>
              <w:rPr>
                <w:rFonts w:ascii="Times New Roman" w:eastAsia="Times New Roman" w:hAnsi="Times New Roman" w:cs="Times New Roman"/>
                <w:color w:val="151616"/>
                <w:sz w:val="28"/>
              </w:rPr>
              <w:t>0</w:t>
            </w:r>
            <w:r w:rsidR="00EA291F">
              <w:rPr>
                <w:rFonts w:ascii="Times New Roman" w:eastAsia="Times New Roman" w:hAnsi="Times New Roman" w:cs="Times New Roman"/>
                <w:color w:val="151616"/>
                <w:sz w:val="28"/>
                <w:lang w:val="ru-RU"/>
              </w:rPr>
              <w:t>0 0</w:t>
            </w:r>
            <w:r>
              <w:rPr>
                <w:rFonts w:ascii="Times New Roman" w:eastAsia="Times New Roman" w:hAnsi="Times New Roman" w:cs="Times New Roman"/>
                <w:color w:val="151616"/>
                <w:sz w:val="28"/>
              </w:rPr>
              <w:t>00</w:t>
            </w:r>
            <w:r w:rsidR="00190167">
              <w:rPr>
                <w:rFonts w:ascii="Times New Roman" w:eastAsia="Times New Roman" w:hAnsi="Times New Roman" w:cs="Times New Roman"/>
                <w:color w:val="151616"/>
                <w:sz w:val="28"/>
                <w:lang w:val="ru-RU"/>
              </w:rPr>
              <w:t xml:space="preserve"> 000</w:t>
            </w:r>
            <w:r>
              <w:rPr>
                <w:rFonts w:ascii="Times New Roman" w:eastAsia="Times New Roman" w:hAnsi="Times New Roman" w:cs="Times New Roman"/>
                <w:color w:val="151616"/>
                <w:sz w:val="28"/>
              </w:rPr>
              <w:t xml:space="preserve"> 000</w:t>
            </w:r>
          </w:p>
        </w:tc>
        <w:tc>
          <w:tcPr>
            <w:tcW w:w="1842" w:type="dxa"/>
            <w:tcBorders>
              <w:top w:val="single" w:sz="4" w:space="0" w:color="auto"/>
              <w:left w:val="single" w:sz="4" w:space="0" w:color="auto"/>
              <w:bottom w:val="single" w:sz="4" w:space="0" w:color="auto"/>
              <w:right w:val="single" w:sz="4" w:space="0" w:color="auto"/>
            </w:tcBorders>
            <w:hideMark/>
          </w:tcPr>
          <w:p w14:paraId="4F9ED05A" w14:textId="2B723011" w:rsidR="00834E93" w:rsidRPr="00B27F73" w:rsidRDefault="00B27F73">
            <w:pPr>
              <w:tabs>
                <w:tab w:val="left" w:pos="1605"/>
                <w:tab w:val="center" w:pos="2235"/>
              </w:tabs>
              <w:spacing w:line="318" w:lineRule="exact"/>
              <w:jc w:val="center"/>
              <w:rPr>
                <w:rFonts w:ascii="Times New Roman" w:eastAsia="Times New Roman" w:hAnsi="Times New Roman" w:cs="Times New Roman"/>
                <w:color w:val="151616"/>
                <w:sz w:val="28"/>
                <w:szCs w:val="28"/>
                <w:lang w:val="ru-RU"/>
              </w:rPr>
            </w:pPr>
            <w:r>
              <w:rPr>
                <w:rFonts w:ascii="Times New Roman" w:eastAsia="Times New Roman" w:hAnsi="Times New Roman" w:cs="Times New Roman"/>
                <w:color w:val="151616"/>
                <w:sz w:val="28"/>
                <w:szCs w:val="28"/>
                <w:lang w:val="ru-RU"/>
              </w:rPr>
              <w:t>93,805%</w:t>
            </w:r>
          </w:p>
        </w:tc>
        <w:tc>
          <w:tcPr>
            <w:tcW w:w="2840" w:type="dxa"/>
            <w:tcBorders>
              <w:top w:val="single" w:sz="4" w:space="0" w:color="auto"/>
              <w:left w:val="single" w:sz="4" w:space="0" w:color="auto"/>
              <w:bottom w:val="single" w:sz="4" w:space="0" w:color="auto"/>
              <w:right w:val="single" w:sz="6" w:space="0" w:color="151616"/>
            </w:tcBorders>
            <w:hideMark/>
          </w:tcPr>
          <w:p w14:paraId="1AABDF58" w14:textId="742FEDCB"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0,2</w:t>
            </w:r>
            <w:r w:rsidR="00EA291F">
              <w:rPr>
                <w:rFonts w:ascii="Times New Roman" w:eastAsia="Times New Roman" w:hAnsi="Times New Roman" w:cs="Times New Roman"/>
                <w:color w:val="151616"/>
                <w:sz w:val="28"/>
                <w:lang w:val="ru-RU"/>
              </w:rPr>
              <w:t>5</w:t>
            </w:r>
            <w:r>
              <w:rPr>
                <w:rFonts w:ascii="Times New Roman" w:eastAsia="Times New Roman" w:hAnsi="Times New Roman" w:cs="Times New Roman"/>
                <w:color w:val="151616"/>
                <w:sz w:val="28"/>
              </w:rPr>
              <w:t>7 % в день</w:t>
            </w:r>
          </w:p>
        </w:tc>
      </w:tr>
      <w:tr w:rsidR="00834E93" w14:paraId="3EC34519" w14:textId="77777777" w:rsidTr="00834E93">
        <w:trPr>
          <w:trHeight w:hRule="exact" w:val="355"/>
        </w:trPr>
        <w:tc>
          <w:tcPr>
            <w:tcW w:w="3816" w:type="dxa"/>
            <w:tcBorders>
              <w:top w:val="single" w:sz="4" w:space="0" w:color="auto"/>
              <w:left w:val="single" w:sz="6" w:space="0" w:color="151616"/>
              <w:bottom w:val="single" w:sz="4" w:space="0" w:color="auto"/>
              <w:right w:val="single" w:sz="4" w:space="0" w:color="auto"/>
            </w:tcBorders>
            <w:hideMark/>
          </w:tcPr>
          <w:p w14:paraId="02CEFDF1" w14:textId="50C392FF" w:rsidR="00834E93" w:rsidRDefault="00EA291F">
            <w:pPr>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lang w:val="ru-RU"/>
              </w:rPr>
              <w:t>4</w:t>
            </w:r>
            <w:r w:rsidR="00834E93">
              <w:rPr>
                <w:rFonts w:ascii="Times New Roman" w:eastAsia="Times New Roman" w:hAnsi="Times New Roman" w:cs="Times New Roman"/>
                <w:color w:val="151616"/>
                <w:sz w:val="28"/>
                <w:szCs w:val="28"/>
              </w:rPr>
              <w:t>,</w:t>
            </w:r>
            <w:r>
              <w:rPr>
                <w:rFonts w:ascii="Times New Roman" w:eastAsia="Times New Roman" w:hAnsi="Times New Roman" w:cs="Times New Roman"/>
                <w:color w:val="151616"/>
                <w:sz w:val="28"/>
                <w:szCs w:val="28"/>
                <w:lang w:val="ru-RU"/>
              </w:rPr>
              <w:t>4</w:t>
            </w:r>
            <w:r w:rsidR="00834E93">
              <w:rPr>
                <w:rFonts w:ascii="Times New Roman" w:eastAsia="Times New Roman" w:hAnsi="Times New Roman" w:cs="Times New Roman"/>
                <w:color w:val="151616"/>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14:paraId="59F0B0CF" w14:textId="4ED3246B" w:rsidR="00834E93" w:rsidRDefault="00834E93">
            <w:pPr>
              <w:spacing w:line="318" w:lineRule="exact"/>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 xml:space="preserve">свыше </w:t>
            </w:r>
            <w:r w:rsidR="00EA291F">
              <w:rPr>
                <w:rFonts w:ascii="Times New Roman" w:eastAsia="Times New Roman" w:hAnsi="Times New Roman" w:cs="Times New Roman"/>
                <w:color w:val="151616"/>
                <w:sz w:val="28"/>
                <w:lang w:val="ru-RU"/>
              </w:rPr>
              <w:t>3</w:t>
            </w:r>
            <w:r>
              <w:rPr>
                <w:rFonts w:ascii="Times New Roman" w:eastAsia="Times New Roman" w:hAnsi="Times New Roman" w:cs="Times New Roman"/>
                <w:color w:val="151616"/>
                <w:sz w:val="28"/>
              </w:rPr>
              <w:t>00 000</w:t>
            </w:r>
          </w:p>
        </w:tc>
        <w:tc>
          <w:tcPr>
            <w:tcW w:w="1842" w:type="dxa"/>
            <w:tcBorders>
              <w:top w:val="single" w:sz="4" w:space="0" w:color="auto"/>
              <w:left w:val="single" w:sz="4" w:space="0" w:color="auto"/>
              <w:bottom w:val="single" w:sz="4" w:space="0" w:color="auto"/>
              <w:right w:val="single" w:sz="4" w:space="0" w:color="auto"/>
            </w:tcBorders>
            <w:hideMark/>
          </w:tcPr>
          <w:p w14:paraId="01BBE021" w14:textId="3F7FC573" w:rsidR="00834E93" w:rsidRDefault="00EA291F">
            <w:pPr>
              <w:tabs>
                <w:tab w:val="left" w:pos="1605"/>
                <w:tab w:val="center" w:pos="2235"/>
              </w:tabs>
              <w:spacing w:line="318" w:lineRule="exact"/>
              <w:jc w:val="center"/>
              <w:rPr>
                <w:rFonts w:ascii="Times New Roman" w:eastAsia="Times New Roman" w:hAnsi="Times New Roman" w:cs="Times New Roman"/>
                <w:color w:val="151616"/>
                <w:sz w:val="28"/>
                <w:szCs w:val="28"/>
              </w:rPr>
            </w:pPr>
            <w:r w:rsidRPr="00EA291F">
              <w:rPr>
                <w:rFonts w:ascii="Times New Roman" w:eastAsia="Times New Roman" w:hAnsi="Times New Roman" w:cs="Times New Roman"/>
                <w:color w:val="151616"/>
                <w:sz w:val="28"/>
                <w:szCs w:val="28"/>
              </w:rPr>
              <w:t>53,533 %</w:t>
            </w:r>
          </w:p>
        </w:tc>
        <w:tc>
          <w:tcPr>
            <w:tcW w:w="2840" w:type="dxa"/>
            <w:tcBorders>
              <w:top w:val="single" w:sz="4" w:space="0" w:color="auto"/>
              <w:left w:val="single" w:sz="4" w:space="0" w:color="auto"/>
              <w:bottom w:val="single" w:sz="4" w:space="0" w:color="auto"/>
              <w:right w:val="single" w:sz="6" w:space="0" w:color="151616"/>
            </w:tcBorders>
            <w:hideMark/>
          </w:tcPr>
          <w:p w14:paraId="1F91FDD3" w14:textId="1E92AFE1"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w:t>
            </w:r>
            <w:r w:rsidR="00EA291F">
              <w:rPr>
                <w:rFonts w:ascii="Times New Roman" w:eastAsia="Times New Roman" w:hAnsi="Times New Roman" w:cs="Times New Roman"/>
                <w:color w:val="151616"/>
                <w:sz w:val="28"/>
                <w:lang w:val="ru-RU"/>
              </w:rPr>
              <w:t>147</w:t>
            </w:r>
            <w:r>
              <w:rPr>
                <w:rFonts w:ascii="Times New Roman" w:eastAsia="Times New Roman" w:hAnsi="Times New Roman" w:cs="Times New Roman"/>
                <w:color w:val="151616"/>
                <w:sz w:val="28"/>
              </w:rPr>
              <w:t xml:space="preserve"> % в день</w:t>
            </w:r>
          </w:p>
        </w:tc>
      </w:tr>
      <w:tr w:rsidR="00834E93" w14:paraId="357DAF4A" w14:textId="77777777" w:rsidTr="00834E93">
        <w:trPr>
          <w:trHeight w:hRule="exact" w:val="355"/>
        </w:trPr>
        <w:tc>
          <w:tcPr>
            <w:tcW w:w="3816" w:type="dxa"/>
            <w:tcBorders>
              <w:top w:val="single" w:sz="4" w:space="0" w:color="auto"/>
              <w:left w:val="single" w:sz="4" w:space="0" w:color="auto"/>
              <w:bottom w:val="nil"/>
              <w:right w:val="single" w:sz="4" w:space="0" w:color="auto"/>
            </w:tcBorders>
            <w:hideMark/>
          </w:tcPr>
          <w:p w14:paraId="643E9876" w14:textId="77777777" w:rsidR="00834E93" w:rsidRDefault="00834E93">
            <w:pPr>
              <w:spacing w:line="318" w:lineRule="exact"/>
              <w:ind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8 %</w:t>
            </w:r>
          </w:p>
          <w:p w14:paraId="506BD28A" w14:textId="77777777" w:rsidR="00834E93" w:rsidRDefault="00834E93">
            <w:pPr>
              <w:spacing w:line="318" w:lineRule="exact"/>
              <w:ind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(новый клиент,пенсионе</w:t>
            </w:r>
          </w:p>
        </w:tc>
        <w:tc>
          <w:tcPr>
            <w:tcW w:w="2694" w:type="dxa"/>
            <w:tcBorders>
              <w:top w:val="single" w:sz="4" w:space="0" w:color="auto"/>
              <w:left w:val="single" w:sz="4" w:space="0" w:color="auto"/>
              <w:bottom w:val="nil"/>
              <w:right w:val="single" w:sz="4" w:space="0" w:color="auto"/>
            </w:tcBorders>
            <w:hideMark/>
          </w:tcPr>
          <w:p w14:paraId="5378D2A5" w14:textId="77777777" w:rsidR="00834E93" w:rsidRDefault="00834E93">
            <w:pPr>
              <w:spacing w:line="318" w:lineRule="exact"/>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szCs w:val="28"/>
              </w:rPr>
              <w:t>пенсионеры</w:t>
            </w:r>
          </w:p>
        </w:tc>
        <w:tc>
          <w:tcPr>
            <w:tcW w:w="1842" w:type="dxa"/>
            <w:tcBorders>
              <w:top w:val="single" w:sz="4" w:space="0" w:color="auto"/>
              <w:left w:val="single" w:sz="4" w:space="0" w:color="auto"/>
              <w:bottom w:val="nil"/>
              <w:right w:val="single" w:sz="4" w:space="0" w:color="auto"/>
            </w:tcBorders>
            <w:hideMark/>
          </w:tcPr>
          <w:p w14:paraId="5D35EDF7" w14:textId="77777777" w:rsidR="00834E93" w:rsidRDefault="00834E93">
            <w:pPr>
              <w:tabs>
                <w:tab w:val="left" w:pos="1605"/>
                <w:tab w:val="center" w:pos="2235"/>
              </w:tabs>
              <w:spacing w:line="318" w:lineRule="exact"/>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97,333%</w:t>
            </w:r>
          </w:p>
        </w:tc>
        <w:tc>
          <w:tcPr>
            <w:tcW w:w="2840" w:type="dxa"/>
            <w:tcBorders>
              <w:top w:val="single" w:sz="4" w:space="0" w:color="auto"/>
              <w:left w:val="single" w:sz="4" w:space="0" w:color="auto"/>
              <w:bottom w:val="nil"/>
              <w:right w:val="single" w:sz="4" w:space="0" w:color="auto"/>
            </w:tcBorders>
            <w:hideMark/>
          </w:tcPr>
          <w:p w14:paraId="78F6F764"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0,267 % в день</w:t>
            </w:r>
          </w:p>
        </w:tc>
      </w:tr>
      <w:tr w:rsidR="00834E93" w14:paraId="66A6D592" w14:textId="77777777" w:rsidTr="00834E93">
        <w:trPr>
          <w:trHeight w:hRule="exact" w:val="80"/>
        </w:trPr>
        <w:tc>
          <w:tcPr>
            <w:tcW w:w="3816" w:type="dxa"/>
            <w:tcBorders>
              <w:top w:val="nil"/>
              <w:left w:val="single" w:sz="4" w:space="0" w:color="auto"/>
              <w:bottom w:val="single" w:sz="4" w:space="0" w:color="auto"/>
              <w:right w:val="single" w:sz="4" w:space="0" w:color="auto"/>
            </w:tcBorders>
          </w:tcPr>
          <w:p w14:paraId="31BA7C61" w14:textId="77777777" w:rsidR="00834E93" w:rsidRDefault="00834E93">
            <w:pPr>
              <w:spacing w:line="318" w:lineRule="exact"/>
              <w:ind w:right="63"/>
              <w:jc w:val="center"/>
              <w:rPr>
                <w:rFonts w:ascii="Times New Roman" w:eastAsia="Times New Roman" w:hAnsi="Times New Roman" w:cs="Times New Roman"/>
                <w:color w:val="151616"/>
                <w:sz w:val="28"/>
                <w:szCs w:val="28"/>
              </w:rPr>
            </w:pPr>
          </w:p>
        </w:tc>
        <w:tc>
          <w:tcPr>
            <w:tcW w:w="2694" w:type="dxa"/>
            <w:tcBorders>
              <w:top w:val="nil"/>
              <w:left w:val="single" w:sz="4" w:space="0" w:color="auto"/>
              <w:bottom w:val="single" w:sz="4" w:space="0" w:color="auto"/>
              <w:right w:val="single" w:sz="4" w:space="0" w:color="auto"/>
            </w:tcBorders>
          </w:tcPr>
          <w:p w14:paraId="5A426E8D" w14:textId="77777777" w:rsidR="00834E93" w:rsidRDefault="00834E93">
            <w:pPr>
              <w:spacing w:line="318" w:lineRule="exact"/>
              <w:jc w:val="center"/>
              <w:rPr>
                <w:rFonts w:ascii="Times New Roman" w:eastAsia="Times New Roman" w:hAnsi="Times New Roman" w:cs="Times New Roman"/>
                <w:color w:val="151616"/>
                <w:sz w:val="28"/>
              </w:rPr>
            </w:pPr>
          </w:p>
        </w:tc>
        <w:tc>
          <w:tcPr>
            <w:tcW w:w="1842" w:type="dxa"/>
            <w:tcBorders>
              <w:top w:val="nil"/>
              <w:left w:val="single" w:sz="4" w:space="0" w:color="auto"/>
              <w:bottom w:val="single" w:sz="4" w:space="0" w:color="auto"/>
              <w:right w:val="single" w:sz="4" w:space="0" w:color="auto"/>
            </w:tcBorders>
          </w:tcPr>
          <w:p w14:paraId="419804D8" w14:textId="77777777" w:rsidR="00834E93" w:rsidRDefault="00834E93">
            <w:pPr>
              <w:tabs>
                <w:tab w:val="left" w:pos="1605"/>
                <w:tab w:val="center" w:pos="2235"/>
              </w:tabs>
              <w:spacing w:line="318" w:lineRule="exact"/>
              <w:ind w:left="648"/>
              <w:jc w:val="center"/>
              <w:rPr>
                <w:rFonts w:ascii="Times New Roman" w:eastAsia="Times New Roman" w:hAnsi="Times New Roman" w:cs="Times New Roman"/>
                <w:color w:val="151616"/>
                <w:sz w:val="28"/>
                <w:szCs w:val="28"/>
              </w:rPr>
            </w:pPr>
          </w:p>
        </w:tc>
        <w:tc>
          <w:tcPr>
            <w:tcW w:w="2840" w:type="dxa"/>
            <w:tcBorders>
              <w:top w:val="nil"/>
              <w:left w:val="single" w:sz="4" w:space="0" w:color="auto"/>
              <w:bottom w:val="single" w:sz="4" w:space="0" w:color="auto"/>
              <w:right w:val="single" w:sz="4" w:space="0" w:color="auto"/>
            </w:tcBorders>
          </w:tcPr>
          <w:p w14:paraId="7FFEA257"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p>
        </w:tc>
      </w:tr>
      <w:tr w:rsidR="00834E93" w14:paraId="25960ECA" w14:textId="77777777" w:rsidTr="00834E93">
        <w:trPr>
          <w:trHeight w:hRule="exact" w:val="355"/>
        </w:trPr>
        <w:tc>
          <w:tcPr>
            <w:tcW w:w="3816" w:type="dxa"/>
            <w:tcBorders>
              <w:top w:val="single" w:sz="6" w:space="0" w:color="151616"/>
              <w:left w:val="single" w:sz="6" w:space="0" w:color="151616"/>
              <w:bottom w:val="single" w:sz="6" w:space="0" w:color="151616"/>
              <w:right w:val="single" w:sz="4" w:space="0" w:color="auto"/>
            </w:tcBorders>
            <w:hideMark/>
          </w:tcPr>
          <w:p w14:paraId="295C2685"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7 %</w:t>
            </w:r>
          </w:p>
        </w:tc>
        <w:tc>
          <w:tcPr>
            <w:tcW w:w="2694" w:type="dxa"/>
            <w:tcBorders>
              <w:top w:val="single" w:sz="4" w:space="0" w:color="auto"/>
              <w:left w:val="single" w:sz="4" w:space="0" w:color="auto"/>
              <w:bottom w:val="single" w:sz="4" w:space="0" w:color="auto"/>
              <w:right w:val="single" w:sz="4" w:space="0" w:color="auto"/>
            </w:tcBorders>
            <w:hideMark/>
          </w:tcPr>
          <w:p w14:paraId="4F3E860C" w14:textId="77777777" w:rsidR="00834E93" w:rsidRDefault="00834E93">
            <w:pPr>
              <w:spacing w:line="318" w:lineRule="exact"/>
              <w:jc w:val="center"/>
              <w:rPr>
                <w:rFonts w:ascii="Times New Roman" w:eastAsia="Times New Roman" w:hAnsi="Times New Roman" w:cs="Times New Roman"/>
                <w:sz w:val="28"/>
              </w:rPr>
            </w:pPr>
            <w:r>
              <w:rPr>
                <w:rFonts w:ascii="Times New Roman" w:eastAsia="Times New Roman" w:hAnsi="Times New Roman" w:cs="Times New Roman"/>
                <w:color w:val="151616"/>
                <w:sz w:val="28"/>
              </w:rPr>
              <w:t>первый займ</w:t>
            </w:r>
          </w:p>
        </w:tc>
        <w:tc>
          <w:tcPr>
            <w:tcW w:w="1842" w:type="dxa"/>
            <w:tcBorders>
              <w:top w:val="single" w:sz="4" w:space="0" w:color="auto"/>
              <w:left w:val="single" w:sz="4" w:space="0" w:color="auto"/>
              <w:bottom w:val="single" w:sz="4" w:space="0" w:color="auto"/>
              <w:right w:val="single" w:sz="4" w:space="0" w:color="auto"/>
            </w:tcBorders>
            <w:hideMark/>
          </w:tcPr>
          <w:p w14:paraId="2CA94A02" w14:textId="77777777" w:rsidR="00834E93" w:rsidRDefault="00834E93">
            <w:pPr>
              <w:spacing w:line="31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85,045 %</w:t>
            </w:r>
          </w:p>
        </w:tc>
        <w:tc>
          <w:tcPr>
            <w:tcW w:w="2840" w:type="dxa"/>
            <w:tcBorders>
              <w:top w:val="single" w:sz="6" w:space="0" w:color="151616"/>
              <w:left w:val="single" w:sz="4" w:space="0" w:color="auto"/>
              <w:bottom w:val="single" w:sz="6" w:space="0" w:color="151616"/>
              <w:right w:val="single" w:sz="6" w:space="0" w:color="151616"/>
            </w:tcBorders>
            <w:hideMark/>
          </w:tcPr>
          <w:p w14:paraId="75890BC9"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0,233 % в день</w:t>
            </w:r>
          </w:p>
        </w:tc>
      </w:tr>
      <w:tr w:rsidR="00834E93" w14:paraId="2D5AEEE7" w14:textId="77777777" w:rsidTr="00834E93">
        <w:trPr>
          <w:trHeight w:hRule="exact" w:val="355"/>
        </w:trPr>
        <w:tc>
          <w:tcPr>
            <w:tcW w:w="3816" w:type="dxa"/>
            <w:tcBorders>
              <w:top w:val="single" w:sz="6" w:space="0" w:color="151616"/>
              <w:left w:val="single" w:sz="6" w:space="0" w:color="151616"/>
              <w:bottom w:val="single" w:sz="6" w:space="0" w:color="151616"/>
              <w:right w:val="single" w:sz="4" w:space="0" w:color="auto"/>
            </w:tcBorders>
            <w:hideMark/>
          </w:tcPr>
          <w:p w14:paraId="08C21D19"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4,4%</w:t>
            </w:r>
          </w:p>
          <w:p w14:paraId="19E30706"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с</w:t>
            </w:r>
          </w:p>
        </w:tc>
        <w:tc>
          <w:tcPr>
            <w:tcW w:w="2694" w:type="dxa"/>
            <w:tcBorders>
              <w:top w:val="single" w:sz="4" w:space="0" w:color="auto"/>
              <w:left w:val="single" w:sz="4" w:space="0" w:color="auto"/>
              <w:bottom w:val="single" w:sz="4" w:space="0" w:color="auto"/>
              <w:right w:val="single" w:sz="4" w:space="0" w:color="auto"/>
            </w:tcBorders>
            <w:hideMark/>
          </w:tcPr>
          <w:p w14:paraId="35913AD6" w14:textId="77777777" w:rsidR="00834E93" w:rsidRPr="00190167" w:rsidRDefault="00190167">
            <w:pPr>
              <w:spacing w:line="318" w:lineRule="exact"/>
              <w:jc w:val="center"/>
              <w:rPr>
                <w:rFonts w:ascii="Times New Roman" w:eastAsia="Times New Roman" w:hAnsi="Times New Roman" w:cs="Times New Roman"/>
                <w:sz w:val="24"/>
                <w:szCs w:val="24"/>
                <w:lang w:val="ru-RU"/>
              </w:rPr>
            </w:pPr>
            <w:r w:rsidRPr="00190167">
              <w:rPr>
                <w:rFonts w:ascii="Times New Roman" w:eastAsia="Times New Roman" w:hAnsi="Times New Roman" w:cs="Times New Roman"/>
                <w:sz w:val="24"/>
                <w:szCs w:val="24"/>
                <w:lang w:val="ru-RU"/>
              </w:rPr>
              <w:t>Краткосрочные займы</w:t>
            </w:r>
          </w:p>
        </w:tc>
        <w:tc>
          <w:tcPr>
            <w:tcW w:w="1842" w:type="dxa"/>
            <w:tcBorders>
              <w:top w:val="single" w:sz="4" w:space="0" w:color="auto"/>
              <w:left w:val="single" w:sz="4" w:space="0" w:color="auto"/>
              <w:bottom w:val="single" w:sz="4" w:space="0" w:color="auto"/>
              <w:right w:val="single" w:sz="4" w:space="0" w:color="auto"/>
            </w:tcBorders>
            <w:hideMark/>
          </w:tcPr>
          <w:p w14:paraId="1F8AEC6D" w14:textId="77777777" w:rsidR="00834E93" w:rsidRDefault="00834E93">
            <w:pPr>
              <w:spacing w:line="31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53,533 %</w:t>
            </w:r>
          </w:p>
        </w:tc>
        <w:tc>
          <w:tcPr>
            <w:tcW w:w="2840" w:type="dxa"/>
            <w:tcBorders>
              <w:top w:val="single" w:sz="6" w:space="0" w:color="151616"/>
              <w:left w:val="single" w:sz="4" w:space="0" w:color="auto"/>
              <w:bottom w:val="single" w:sz="6" w:space="0" w:color="151616"/>
              <w:right w:val="single" w:sz="6" w:space="0" w:color="151616"/>
            </w:tcBorders>
            <w:hideMark/>
          </w:tcPr>
          <w:p w14:paraId="2F9CCC6B"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0,147 % в день</w:t>
            </w:r>
          </w:p>
        </w:tc>
      </w:tr>
    </w:tbl>
    <w:p w14:paraId="148BD91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lastRenderedPageBreak/>
        <w:tab/>
      </w:r>
    </w:p>
    <w:p w14:paraId="5413A0D7" w14:textId="77777777" w:rsidR="00834E93" w:rsidRDefault="00834E93" w:rsidP="00834E93">
      <w:pPr>
        <w:widowControl w:val="0"/>
        <w:suppressAutoHyphens/>
        <w:spacing w:after="0" w:line="240" w:lineRule="auto"/>
        <w:ind w:firstLine="709"/>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8.2 Процентные ставки по каждому займу указываются в индивидуальных условиях договора потребительского займа и/или в залоговом билете.  </w:t>
      </w:r>
    </w:p>
    <w:p w14:paraId="100E4A60"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8.3 На момент заключения договора потребительского займа полная стоимость потребительского займа (ПСК) по каждому договору не может превышать 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0F47F86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5712463D"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731D676D" w14:textId="278D8611"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Pr>
          <w:rFonts w:ascii="Times New Roman" w:eastAsia="Times New Roman" w:hAnsi="Times New Roman" w:cs="Times New Roman"/>
          <w:kern w:val="2"/>
          <w:sz w:val="26"/>
          <w:szCs w:val="20"/>
          <w:lang w:eastAsia="ar-SA"/>
        </w:rPr>
        <w:t xml:space="preserve"> (ПСК) по предоставляемому ломбардом виду займа от 53,533 % до </w:t>
      </w:r>
      <w:r w:rsidR="00FA4628">
        <w:rPr>
          <w:rFonts w:ascii="Times New Roman" w:eastAsia="Times New Roman" w:hAnsi="Times New Roman" w:cs="Times New Roman"/>
          <w:kern w:val="2"/>
          <w:sz w:val="26"/>
          <w:szCs w:val="20"/>
          <w:lang w:eastAsia="ar-SA"/>
        </w:rPr>
        <w:t>1</w:t>
      </w:r>
      <w:r w:rsidR="004E60A9">
        <w:rPr>
          <w:rFonts w:ascii="Times New Roman" w:eastAsia="Times New Roman" w:hAnsi="Times New Roman" w:cs="Times New Roman"/>
          <w:kern w:val="2"/>
          <w:sz w:val="26"/>
          <w:szCs w:val="20"/>
          <w:lang w:eastAsia="ar-SA"/>
        </w:rPr>
        <w:t>0</w:t>
      </w:r>
      <w:r w:rsidR="00A04DD1">
        <w:rPr>
          <w:rFonts w:ascii="Times New Roman" w:eastAsia="Times New Roman" w:hAnsi="Times New Roman" w:cs="Times New Roman"/>
          <w:kern w:val="2"/>
          <w:sz w:val="26"/>
          <w:szCs w:val="20"/>
          <w:lang w:eastAsia="ar-SA"/>
        </w:rPr>
        <w:t>7</w:t>
      </w:r>
      <w:r w:rsidR="00FA4628">
        <w:rPr>
          <w:rFonts w:ascii="Times New Roman" w:eastAsia="Times New Roman" w:hAnsi="Times New Roman" w:cs="Times New Roman"/>
          <w:kern w:val="2"/>
          <w:sz w:val="26"/>
          <w:szCs w:val="20"/>
          <w:lang w:eastAsia="ar-SA"/>
        </w:rPr>
        <w:t>,</w:t>
      </w:r>
      <w:r w:rsidR="004E60A9">
        <w:rPr>
          <w:rFonts w:ascii="Times New Roman" w:eastAsia="Times New Roman" w:hAnsi="Times New Roman" w:cs="Times New Roman"/>
          <w:kern w:val="2"/>
          <w:sz w:val="26"/>
          <w:szCs w:val="20"/>
          <w:lang w:eastAsia="ar-SA"/>
        </w:rPr>
        <w:t>310</w:t>
      </w:r>
      <w:r>
        <w:rPr>
          <w:rFonts w:ascii="Times New Roman" w:eastAsia="Times New Roman" w:hAnsi="Times New Roman" w:cs="Times New Roman"/>
          <w:kern w:val="2"/>
          <w:sz w:val="26"/>
          <w:szCs w:val="20"/>
          <w:lang w:eastAsia="ar-SA"/>
        </w:rPr>
        <w:t xml:space="preserve"> %.</w:t>
      </w:r>
    </w:p>
    <w:p w14:paraId="4A15B58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3DE31D9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4CF41B1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4BC09314"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 Возможно частичное и/или досрочное погашение займа и/или процентов в любое время до реализации ломбардом невостребованного имущества. В этом случае срок возврата займа продлевается.</w:t>
      </w:r>
      <w:r>
        <w:rPr>
          <w:rFonts w:ascii="Times New Roman" w:eastAsia="Times New Roman" w:hAnsi="Times New Roman" w:cs="Times New Roman"/>
          <w:kern w:val="2"/>
          <w:sz w:val="26"/>
          <w:szCs w:val="26"/>
          <w:lang w:eastAsia="ar-SA"/>
        </w:rPr>
        <w:t xml:space="preserve"> Одновременно оформляются новые «Индивидуальные условия договора потребительского займа».</w:t>
      </w:r>
    </w:p>
    <w:p w14:paraId="35D74FEA" w14:textId="77777777" w:rsidR="00834E93" w:rsidRDefault="00834E93" w:rsidP="00834E93">
      <w:pPr>
        <w:rPr>
          <w:rFonts w:ascii="Times New Roman" w:eastAsia="Lucida Sans Unicode" w:hAnsi="Times New Roman" w:cs="Mangal"/>
          <w:kern w:val="2"/>
          <w:sz w:val="26"/>
          <w:szCs w:val="26"/>
          <w:lang w:eastAsia="hi-IN" w:bidi="hi-IN"/>
        </w:rPr>
      </w:pPr>
      <w:r>
        <w:rPr>
          <w:rFonts w:ascii="Times New Roman" w:eastAsia="Lucida Sans Unicode" w:hAnsi="Times New Roman" w:cs="Mangal"/>
          <w:kern w:val="2"/>
          <w:sz w:val="26"/>
          <w:szCs w:val="26"/>
          <w:lang w:eastAsia="hi-IN" w:bidi="hi-IN"/>
        </w:rPr>
        <w:tab/>
        <w:t>В новом залоговом билете указываются: новый срок возврата займа, новая сумма выданного займа (при её изменении).</w:t>
      </w:r>
    </w:p>
    <w:p w14:paraId="2021A232" w14:textId="77777777" w:rsidR="00834E93" w:rsidRDefault="00834E93" w:rsidP="00834E93">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12. Порядок погашения задолженности Заемщика</w:t>
      </w:r>
    </w:p>
    <w:p w14:paraId="45581801"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 xml:space="preserve">12.1 </w:t>
      </w:r>
      <w:r>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5F9DAEE9"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1) задолженность по процентам;</w:t>
      </w:r>
    </w:p>
    <w:p w14:paraId="3F4C0499"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2) задолженность по основному долгу;</w:t>
      </w:r>
    </w:p>
    <w:p w14:paraId="62594742"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 xml:space="preserve">3)  проценты, начисленные за текущий период платежей; </w:t>
      </w:r>
    </w:p>
    <w:p w14:paraId="160F9B7A"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4) сумма основного долга за текущий период платежей;</w:t>
      </w:r>
    </w:p>
    <w:p w14:paraId="6FCC4B65"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0B7544C0"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2CDB3253"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13. Способы возврата займа и уплаты процентов по нему.</w:t>
      </w:r>
    </w:p>
    <w:p w14:paraId="702652F2"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 xml:space="preserve">13.1 Займ с процентами возвращается путем внесения наличных денежных средств в кассу ломбарда (по месту получения займа). Указанный способ является </w:t>
      </w:r>
      <w:r>
        <w:rPr>
          <w:rFonts w:ascii="Times New Roman" w:eastAsia="Times New Roman" w:hAnsi="Times New Roman" w:cs="Times New Roman"/>
          <w:kern w:val="2"/>
          <w:sz w:val="26"/>
          <w:szCs w:val="20"/>
          <w:lang w:eastAsia="ar-SA"/>
        </w:rPr>
        <w:lastRenderedPageBreak/>
        <w:t>бесплатным. 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p>
    <w:p w14:paraId="094901FB"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14. Сроки, в течение которых заемщик вправе отказаться от получения потребительского займа.</w:t>
      </w:r>
    </w:p>
    <w:p w14:paraId="50DDBB98"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14.1 Заемщик имеет право отказаться от получения займа полностью или частично до подписания Индивидуальных условий договора потребительского кредита (займа).</w:t>
      </w:r>
    </w:p>
    <w:p w14:paraId="6572A603"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15. Способы обеспечения исполнения обязательств по договору потребительского займа.</w:t>
      </w:r>
    </w:p>
    <w:p w14:paraId="7A579B3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15.1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0DEAED9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15.2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08AA8F75"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16. Ответственность заемщика за ненадлежащее исполнение договора потребительского займа.</w:t>
      </w:r>
    </w:p>
    <w:p w14:paraId="124E32C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16.1 Ответственность заемщика за ненадлежащее исполнение договора потребительского займа, в т.ч. взимание неустойки, договором не предусматривается.</w:t>
      </w:r>
    </w:p>
    <w:p w14:paraId="5CFFBE42"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17. Информация об иных договорах, которые заемщик обязан заключить и/или иных услугах, которые он обязан получить.</w:t>
      </w:r>
    </w:p>
    <w:p w14:paraId="5A32D75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17.1 Заемщик не обязан заключать иные договоры (получать иные услуги) в связи с получением займа.</w:t>
      </w:r>
    </w:p>
    <w:p w14:paraId="6B7D38D7"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18. Информация об определении курса иностранной валюты.</w:t>
      </w:r>
    </w:p>
    <w:p w14:paraId="3DFA8E6F"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Не применимо, т. к. заем предоставляется в рублях РФ.</w:t>
      </w:r>
    </w:p>
    <w:p w14:paraId="50371BC1"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19. Информация о возможном запрете уступки ломбардом прав требований.</w:t>
      </w:r>
    </w:p>
    <w:p w14:paraId="6D309660"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19.1 Настоящим заемщик информируется, что он вправе запретить уступку ломбардом третьим лицам прав (требований) по договору займа.</w:t>
      </w:r>
    </w:p>
    <w:p w14:paraId="7C05C3D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20. Порядок предоставления заемщиком информации об использовании потребительского займа.</w:t>
      </w:r>
    </w:p>
    <w:p w14:paraId="0437807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20.1 Не применимо, т. к. заем предоставляется без ограничений его использования заемщиком.</w:t>
      </w:r>
    </w:p>
    <w:p w14:paraId="6047982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21. Подсудность споров по искам ломбарда к заемщику.</w:t>
      </w:r>
    </w:p>
    <w:p w14:paraId="35A55BAD"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21.1 Подсудность споров определяется законодательством РФ.</w:t>
      </w:r>
    </w:p>
    <w:p w14:paraId="23BABC37"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t>22. Формуляры или иные стандартные формы, в которых определены общие условия договора потребительского займа.</w:t>
      </w:r>
    </w:p>
    <w:p w14:paraId="4DD33E94"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kern w:val="2"/>
          <w:sz w:val="26"/>
          <w:szCs w:val="20"/>
          <w:lang w:eastAsia="ar-SA"/>
        </w:rPr>
        <w:t>22.1 Не предусмотрены.</w:t>
      </w:r>
    </w:p>
    <w:p w14:paraId="3C14A13D"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b/>
          <w:bCs/>
          <w:kern w:val="2"/>
          <w:sz w:val="26"/>
          <w:szCs w:val="26"/>
          <w:lang w:eastAsia="ar-SA"/>
        </w:rPr>
        <w:t>23. Изменение условий договора займа.</w:t>
      </w:r>
    </w:p>
    <w:p w14:paraId="7E7A6318"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383889ED"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6C102CD3"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Pr>
          <w:rFonts w:ascii="Times New Roman" w:eastAsia="Lucida Sans Unicode" w:hAnsi="Times New Roman" w:cs="Mangal"/>
          <w:kern w:val="2"/>
          <w:sz w:val="26"/>
          <w:szCs w:val="26"/>
          <w:lang w:eastAsia="hi-IN" w:bidi="hi-IN"/>
        </w:rPr>
        <w:tab/>
        <w:t xml:space="preserve">В новом залоговом билете в т. ч. указывается: новый срок возврата займа, </w:t>
      </w:r>
      <w:r>
        <w:rPr>
          <w:rFonts w:ascii="Times New Roman" w:eastAsia="Lucida Sans Unicode" w:hAnsi="Times New Roman" w:cs="Mangal"/>
          <w:kern w:val="2"/>
          <w:sz w:val="26"/>
          <w:szCs w:val="26"/>
          <w:lang w:eastAsia="hi-IN" w:bidi="hi-IN"/>
        </w:rPr>
        <w:lastRenderedPageBreak/>
        <w:t>новая сумма выданного займа (при её изменении), новая процентная ставка (ставки) (при её (их) изменении).</w:t>
      </w:r>
    </w:p>
    <w:p w14:paraId="439491C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b/>
          <w:bCs/>
          <w:kern w:val="2"/>
          <w:sz w:val="26"/>
          <w:szCs w:val="26"/>
          <w:lang w:eastAsia="ar-SA"/>
        </w:rPr>
        <w:tab/>
      </w:r>
      <w:r>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35A9C508" w14:textId="77777777" w:rsidR="00834E93" w:rsidRDefault="00834E93" w:rsidP="00834E93">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Pr>
          <w:rFonts w:ascii="Times New Roman" w:eastAsia="Times New Roman" w:hAnsi="Times New Roman" w:cs="Times New Roman"/>
          <w:b/>
          <w:kern w:val="2"/>
          <w:sz w:val="26"/>
          <w:szCs w:val="26"/>
          <w:lang w:eastAsia="ar-SA"/>
        </w:rPr>
        <w:t>24.Обязанности кредитора.</w:t>
      </w:r>
    </w:p>
    <w:p w14:paraId="4CF884CB"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24.1. Кредитор обязуется обеспечить сохранность заложенного имущества в течение всего срока займа, а также обязуется вернуть заложенное имущество заемщику после выполнения последним своих обязательств по договору.</w:t>
      </w:r>
    </w:p>
    <w:p w14:paraId="750B451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24.2.Кредитор обязуется застраховать за свой счет риск утраты и повреждения имущества на сумму, равную сумме оценки, указанной в залоговом билете. При этом заемщик поручает ломбарду, при наступлении страхового случая, получить страховое возмещение и выплатить его заемщику за удержанием требований ломбарда на дату обращения заемщика в ломбард.</w:t>
      </w:r>
    </w:p>
    <w:p w14:paraId="4C67AD3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24.3.Информацию о просроченной задолженности кредитор доводит до сведения заемщика по телефону, указанному заемщиком, смс, электронному адресу (при наличии) не позднее семи дней с момента ее возникновения.</w:t>
      </w:r>
    </w:p>
    <w:p w14:paraId="406E34CF" w14:textId="77777777" w:rsidR="00834E93" w:rsidRDefault="00834E93" w:rsidP="00834E93">
      <w:pPr>
        <w:pStyle w:val="a4"/>
        <w:spacing w:after="0" w:line="240" w:lineRule="auto"/>
        <w:ind w:left="0"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25. Особенности изменения условий договора потребительского займа по требованию Заемщика.</w:t>
      </w:r>
    </w:p>
    <w:p w14:paraId="5EECCAC1"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w:t>
      </w:r>
      <w:r>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3D2B3AFC"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3E82AC77"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361F1FAE"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630F36DE"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59B8C8A0"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20F58422"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05DAD64F"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25.2.</w:t>
      </w:r>
      <w:r>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375C52E4"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6BE4C586"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Ломбарду с требованием в течение шестидесяти дней со дня установления соответствующих фактов.</w:t>
      </w:r>
    </w:p>
    <w:p w14:paraId="427A9792"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25.3.</w:t>
      </w:r>
      <w:r>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74159979"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25.4.</w:t>
      </w:r>
      <w:r>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7BADA433"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25.5.</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4F81326F"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A78BA8C"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749947C0"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25.6.</w:t>
      </w:r>
      <w:r>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3762881D"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25.7.</w:t>
      </w:r>
      <w:r>
        <w:rPr>
          <w:rFonts w:ascii="Times New Roman" w:eastAsia="Times New Roman" w:hAnsi="Times New Roman" w:cs="Times New Roman"/>
          <w:bCs/>
          <w:sz w:val="26"/>
          <w:szCs w:val="26"/>
          <w:lang w:eastAsia="ru-RU"/>
        </w:rPr>
        <w:tab/>
        <w:t>В уведомлении Ломбарда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5A0C81A6"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25.8.</w:t>
      </w:r>
      <w:r>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2CD6913A"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25.9.</w:t>
      </w:r>
      <w:r>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E8E2255"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25.10.</w:t>
      </w:r>
      <w:r>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DC7DC8F"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25.11.</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Cs/>
          <w:sz w:val="26"/>
          <w:szCs w:val="26"/>
          <w:lang w:eastAsia="ru-RU"/>
        </w:rPr>
        <w:t>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2765574E"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25.12.</w:t>
      </w:r>
      <w:r>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75D320D3"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25.13.</w:t>
      </w:r>
      <w:r>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12.1. настоящих Общих условий.</w:t>
      </w:r>
    </w:p>
    <w:p w14:paraId="3F9F4885"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25.14.</w:t>
      </w:r>
      <w:r>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01.01.2024 г.</w:t>
      </w:r>
    </w:p>
    <w:p w14:paraId="5CADF88C"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Pr>
          <w:rFonts w:ascii="Times New Roman" w:eastAsia="Times New Roman" w:hAnsi="Times New Roman" w:cs="Times New Roman"/>
          <w:b/>
          <w:bCs/>
          <w:kern w:val="2"/>
          <w:sz w:val="26"/>
          <w:szCs w:val="26"/>
          <w:lang w:eastAsia="ar-SA"/>
        </w:rPr>
        <w:tab/>
        <w:t>26. Прочие условия.</w:t>
      </w:r>
    </w:p>
    <w:p w14:paraId="1924F1B9"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kern w:val="2"/>
          <w:sz w:val="26"/>
          <w:szCs w:val="20"/>
          <w:lang w:eastAsia="ar-SA"/>
        </w:rPr>
        <w:t>26.1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3959F809"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26.2 Для всех заемщиков при осуществлении денежных расчетов производится округление в пользу заемщика.</w:t>
      </w:r>
    </w:p>
    <w:p w14:paraId="4B8D4317"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26.3 Заемщик согласен, что невостребованное имущество, на которое в соответствии с Федеральным законом от 19.07.2007г № 196-ФЗ «О ломбардах», обращено взыскание</w:t>
      </w:r>
      <w:r w:rsidR="00F1013A">
        <w:rPr>
          <w:rFonts w:ascii="Times New Roman" w:eastAsia="Times New Roman" w:hAnsi="Times New Roman" w:cs="Times New Roman"/>
          <w:kern w:val="2"/>
          <w:sz w:val="26"/>
          <w:szCs w:val="20"/>
          <w:lang w:eastAsia="ar-SA"/>
        </w:rPr>
        <w:t>,</w:t>
      </w:r>
      <w:r>
        <w:rPr>
          <w:rFonts w:ascii="Times New Roman" w:eastAsia="Times New Roman" w:hAnsi="Times New Roman" w:cs="Times New Roman"/>
          <w:kern w:val="2"/>
          <w:sz w:val="26"/>
          <w:szCs w:val="20"/>
          <w:lang w:eastAsia="ar-SA"/>
        </w:rPr>
        <w:t xml:space="preserve"> ломбард в необходимых случаях в установленном порядке пред</w:t>
      </w:r>
      <w:r w:rsidR="00F1013A">
        <w:rPr>
          <w:rFonts w:ascii="Times New Roman" w:eastAsia="Times New Roman" w:hAnsi="Times New Roman" w:cs="Times New Roman"/>
          <w:kern w:val="2"/>
          <w:sz w:val="26"/>
          <w:szCs w:val="20"/>
          <w:lang w:eastAsia="ar-SA"/>
        </w:rPr>
        <w:t xml:space="preserve">оставляет на опробование, </w:t>
      </w:r>
      <w:r>
        <w:rPr>
          <w:rFonts w:ascii="Times New Roman" w:eastAsia="Times New Roman" w:hAnsi="Times New Roman" w:cs="Times New Roman"/>
          <w:kern w:val="2"/>
          <w:sz w:val="26"/>
          <w:szCs w:val="20"/>
          <w:lang w:eastAsia="ar-SA"/>
        </w:rPr>
        <w:t>клеймение</w:t>
      </w:r>
      <w:r w:rsidR="00F1013A">
        <w:rPr>
          <w:rFonts w:ascii="Times New Roman" w:eastAsia="Times New Roman" w:hAnsi="Times New Roman" w:cs="Times New Roman"/>
          <w:kern w:val="2"/>
          <w:sz w:val="26"/>
          <w:szCs w:val="20"/>
          <w:lang w:eastAsia="ar-SA"/>
        </w:rPr>
        <w:t>, физмаркировку в Федеральную пробирную палату.</w:t>
      </w:r>
    </w:p>
    <w:p w14:paraId="0553B0A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lastRenderedPageBreak/>
        <w:tab/>
      </w:r>
      <w:r>
        <w:rPr>
          <w:rFonts w:ascii="Times New Roman" w:eastAsia="Times New Roman" w:hAnsi="Times New Roman" w:cs="Times New Roman"/>
          <w:bCs/>
          <w:kern w:val="2"/>
          <w:sz w:val="26"/>
          <w:szCs w:val="20"/>
          <w:lang w:eastAsia="ar-SA"/>
        </w:rPr>
        <w:t>27.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76ADEF8E" w14:textId="77777777" w:rsidR="00834E93" w:rsidRDefault="00834E93" w:rsidP="00834E93">
      <w:pPr>
        <w:widowControl w:val="0"/>
        <w:suppressAutoHyphens/>
        <w:spacing w:after="0" w:line="240" w:lineRule="auto"/>
        <w:jc w:val="both"/>
        <w:rPr>
          <w:rFonts w:ascii="Times New Roman" w:eastAsia="Times New Roman" w:hAnsi="Times New Roman" w:cs="Times New Roman"/>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Cs/>
          <w:kern w:val="2"/>
          <w:sz w:val="26"/>
          <w:szCs w:val="20"/>
          <w:lang w:eastAsia="ar-SA"/>
        </w:rPr>
        <w:t>28.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09CC0D7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Cs/>
          <w:kern w:val="2"/>
          <w:sz w:val="26"/>
          <w:szCs w:val="20"/>
          <w:lang w:eastAsia="ar-SA"/>
        </w:rPr>
        <w:tab/>
        <w:t>29.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742CE026" w14:textId="77777777" w:rsidR="00834E93" w:rsidRDefault="00834E93" w:rsidP="00834E93">
      <w:pPr>
        <w:widowControl w:val="0"/>
        <w:suppressAutoHyphens/>
        <w:spacing w:after="0" w:line="240" w:lineRule="auto"/>
        <w:jc w:val="both"/>
        <w:rPr>
          <w:rFonts w:ascii="Times New Roman" w:eastAsia="Times New Roman" w:hAnsi="Times New Roman" w:cs="Times New Roman"/>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Cs/>
          <w:kern w:val="2"/>
          <w:sz w:val="26"/>
          <w:szCs w:val="20"/>
          <w:lang w:eastAsia="ar-SA"/>
        </w:rPr>
        <w:t xml:space="preserve">30.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(займе)» и других законодательных актов РФ. </w:t>
      </w:r>
    </w:p>
    <w:p w14:paraId="789FF6CE"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4"/>
          <w:szCs w:val="24"/>
          <w:lang w:eastAsia="hi-IN" w:bidi="hi-IN"/>
        </w:rPr>
      </w:pPr>
      <w:r>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 применяются индивидуальные условия договора потребительского займа.</w:t>
      </w:r>
    </w:p>
    <w:p w14:paraId="2BCC3758" w14:textId="77777777" w:rsidR="00834E93" w:rsidRDefault="00834E93" w:rsidP="00834E93">
      <w:pPr>
        <w:ind w:right="-284"/>
      </w:pPr>
    </w:p>
    <w:p w14:paraId="54740435" w14:textId="77777777" w:rsidR="00834E93" w:rsidRDefault="00834E93" w:rsidP="00834E93">
      <w:pPr>
        <w:ind w:right="-284"/>
      </w:pPr>
    </w:p>
    <w:p w14:paraId="01D24BE9"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7BB6D746" w14:textId="77777777" w:rsidR="00834E93" w:rsidRDefault="00834E93" w:rsidP="00834E93">
      <w:pPr>
        <w:widowControl w:val="0"/>
        <w:suppressAutoHyphens/>
        <w:spacing w:after="0" w:line="240" w:lineRule="auto"/>
        <w:jc w:val="both"/>
      </w:pPr>
      <w:r>
        <w:rPr>
          <w:rFonts w:ascii="Times New Roman" w:eastAsia="Times New Roman" w:hAnsi="Times New Roman" w:cs="Times New Roman"/>
          <w:kern w:val="2"/>
          <w:sz w:val="26"/>
          <w:szCs w:val="20"/>
          <w:lang w:eastAsia="ar-SA"/>
        </w:rPr>
        <w:tab/>
      </w:r>
    </w:p>
    <w:p w14:paraId="306D8A06" w14:textId="77777777" w:rsidR="00D908EC" w:rsidRDefault="00D908EC"/>
    <w:sectPr w:rsidR="00D90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B4"/>
    <w:rsid w:val="001502C1"/>
    <w:rsid w:val="00190167"/>
    <w:rsid w:val="004E60A9"/>
    <w:rsid w:val="007934A3"/>
    <w:rsid w:val="00834E93"/>
    <w:rsid w:val="009816DC"/>
    <w:rsid w:val="00A04DD1"/>
    <w:rsid w:val="00A115B4"/>
    <w:rsid w:val="00B27F73"/>
    <w:rsid w:val="00D908EC"/>
    <w:rsid w:val="00EA291F"/>
    <w:rsid w:val="00F1013A"/>
    <w:rsid w:val="00FA4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15B2"/>
  <w15:chartTrackingRefBased/>
  <w15:docId w15:val="{3711BF4E-ACEE-4A3B-8CFA-19F7939D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E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4E93"/>
    <w:pPr>
      <w:spacing w:after="0" w:line="240" w:lineRule="auto"/>
    </w:pPr>
  </w:style>
  <w:style w:type="paragraph" w:styleId="a4">
    <w:name w:val="List Paragraph"/>
    <w:basedOn w:val="a"/>
    <w:uiPriority w:val="34"/>
    <w:qFormat/>
    <w:rsid w:val="00834E93"/>
    <w:pPr>
      <w:ind w:left="720"/>
      <w:contextualSpacing/>
    </w:pPr>
  </w:style>
  <w:style w:type="table" w:customStyle="1" w:styleId="TableNormal">
    <w:name w:val="Table Normal"/>
    <w:uiPriority w:val="2"/>
    <w:semiHidden/>
    <w:qFormat/>
    <w:rsid w:val="00834E93"/>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7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2864</Words>
  <Characters>16331</Characters>
  <Application>Microsoft Office Word</Application>
  <DocSecurity>0</DocSecurity>
  <Lines>136</Lines>
  <Paragraphs>38</Paragraphs>
  <ScaleCrop>false</ScaleCrop>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Раух</dc:creator>
  <cp:keywords/>
  <dc:description/>
  <cp:lastModifiedBy>Ирина Раух</cp:lastModifiedBy>
  <cp:revision>13</cp:revision>
  <dcterms:created xsi:type="dcterms:W3CDTF">2025-03-27T09:40:00Z</dcterms:created>
  <dcterms:modified xsi:type="dcterms:W3CDTF">2026-03-31T13:23:00Z</dcterms:modified>
</cp:coreProperties>
</file>